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70" w:firstLine="0"/>
        <w:jc w:val="center"/>
        <w:rPr>
          <w:rFonts w:ascii="Nunito" w:cs="Nunito" w:eastAsia="Nunito" w:hAnsi="Nunito"/>
          <w:b w:val="1"/>
          <w:color w:val="5f9bd4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linkedin.com/in/spacecoding/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|  </w:t>
      </w:r>
      <w:r w:rsidDel="00000000" w:rsidR="00000000" w:rsidRPr="00000000">
        <w:rPr>
          <w:rFonts w:ascii="Nunito" w:cs="Nunito" w:eastAsia="Nunito" w:hAnsi="Nunito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0f0f0f"/>
          <w:sz w:val="20"/>
          <w:szCs w:val="20"/>
          <w:rtl w:val="0"/>
        </w:rPr>
        <w:t xml:space="preserve">+55 51999999999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comercial@spacecoding.dev  |  </w:t>
      </w:r>
      <w:r w:rsidDel="00000000" w:rsidR="00000000" w:rsidRPr="00000000">
        <w:rPr>
          <w:rFonts w:ascii="Nunito" w:cs="Nunito" w:eastAsia="Nunito" w:hAnsi="Nunito"/>
          <w:sz w:val="20"/>
          <w:szCs w:val="20"/>
        </w:rPr>
        <w:drawing>
          <wp:inline distB="114300" distT="114300" distL="114300" distR="114300">
            <wp:extent cx="100584" cy="10058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70" w:firstLine="0"/>
        <w:jc w:val="both"/>
        <w:rPr>
          <w:color w:val="0f0f0f"/>
          <w:sz w:val="14"/>
          <w:szCs w:val="14"/>
        </w:rPr>
      </w:pPr>
      <w:r w:rsidDel="00000000" w:rsidR="00000000" w:rsidRPr="00000000">
        <w:rPr>
          <w:b w:val="1"/>
          <w:color w:val="0333a3"/>
          <w:rtl w:val="0"/>
        </w:rPr>
        <w:t xml:space="preserve">Sobre mim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Sou uma desenvolvedora backend sênior especializada em C# e .NET com 7 anos de experiência em desenvolvimento de software. Meu foco principal é em tecnologias .NET, incluindo C#, .NET Core, ASP.NET, e Entity Framework. Tenho experiência em liderar equipes técnicas e gerenciar projetos, buscando soluções inovadoras e eficientes. Adapto-me rapidamente a novos desafios e estou comprometida em entender profundamente a lógica de desenvolvimento e os objetivos de negócios dos projetos em que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270" w:right="0" w:firstLine="0"/>
        <w:rPr>
          <w:b w:val="1"/>
          <w:color w:val="0333a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270" w:right="0" w:firstLine="0"/>
        <w:rPr>
          <w:sz w:val="8"/>
          <w:szCs w:val="8"/>
        </w:rPr>
      </w:pPr>
      <w:r w:rsidDel="00000000" w:rsidR="00000000" w:rsidRPr="00000000">
        <w:rPr>
          <w:b w:val="1"/>
          <w:color w:val="0333a3"/>
          <w:rtl w:val="0"/>
        </w:rPr>
        <w:t xml:space="preserve">Habilidades</w:t>
      </w:r>
      <w:r w:rsidDel="00000000" w:rsidR="00000000" w:rsidRPr="00000000">
        <w:rPr>
          <w:sz w:val="8"/>
          <w:szCs w:val="8"/>
          <w:rtl w:val="0"/>
        </w:rPr>
        <w:br w:type="textWrapping"/>
        <w:br w:type="textWrapping"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   C# | .NET Core | ASP.NET | Entity Framework  PostgreSQL | SQL Server Microsoft Azure | AWS Docker | Kubernetes | Microservices | Padrões de Design | Princípios SOLID | Git | Visual Studio | ReSharper | REST | TDD | Testes Automatizados | CI/CD | Web API | Autenticação OAuth | JWT | Segurança de APIs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270" w:right="0" w:firstLine="0"/>
        <w:rPr>
          <w:b w:val="1"/>
          <w:color w:val="0333a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270" w:right="0" w:firstLine="0"/>
        <w:rPr>
          <w:sz w:val="8"/>
          <w:szCs w:val="8"/>
        </w:rPr>
      </w:pPr>
      <w:r w:rsidDel="00000000" w:rsidR="00000000" w:rsidRPr="00000000">
        <w:rPr>
          <w:b w:val="1"/>
          <w:color w:val="0333a3"/>
          <w:rtl w:val="0"/>
        </w:rPr>
        <w:t xml:space="preserve">Experiência</w:t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301.0" w:type="dxa"/>
        <w:jc w:val="left"/>
        <w:tblInd w:w="-276.0000000000001" w:type="dxa"/>
        <w:tblLayout w:type="fixed"/>
        <w:tblLook w:val="0600"/>
      </w:tblPr>
      <w:tblGrid>
        <w:gridCol w:w="2511"/>
        <w:gridCol w:w="2235"/>
        <w:gridCol w:w="2235"/>
        <w:gridCol w:w="2289.0000000000005"/>
        <w:gridCol w:w="2030.9999999999995"/>
        <w:tblGridChange w:id="0">
          <w:tblGrid>
            <w:gridCol w:w="2511"/>
            <w:gridCol w:w="2235"/>
            <w:gridCol w:w="2235"/>
            <w:gridCol w:w="2289.0000000000005"/>
            <w:gridCol w:w="2030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Back-End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Aquasoft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6" w:firstLine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Remoto,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10/2020 - Atual</w:t>
            </w:r>
          </w:p>
        </w:tc>
      </w:tr>
    </w:tbl>
    <w:p w:rsidR="00000000" w:rsidDel="00000000" w:rsidP="00000000" w:rsidRDefault="00000000" w:rsidRPr="00000000" w14:paraId="0000000D">
      <w:pPr>
        <w:spacing w:after="0" w:before="0" w:line="240" w:lineRule="auto"/>
        <w:ind w:left="-270" w:right="0" w:firstLine="0"/>
        <w:rPr>
          <w:color w:val="0f0f0f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  Responsável pelo design e estruturação de sistemas complexos, garantindo que as soluções sejam escaláveis e alinhadas com os objetivos de negócios. Contribuo com expertise técnica em C# e .NET, e lidero decisões estratégicas de arquitetura, assegurando a sustentabilidade e a flexibilidade das soluções desenvolvidas.</w:t>
      </w:r>
    </w:p>
    <w:p w:rsidR="00000000" w:rsidDel="00000000" w:rsidP="00000000" w:rsidRDefault="00000000" w:rsidRPr="00000000" w14:paraId="0000000E">
      <w:pPr>
        <w:spacing w:line="240" w:lineRule="auto"/>
        <w:ind w:left="-27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01.0" w:type="dxa"/>
        <w:jc w:val="left"/>
        <w:tblInd w:w="-276.0000000000001" w:type="dxa"/>
        <w:tblLayout w:type="fixed"/>
        <w:tblLook w:val="0600"/>
      </w:tblPr>
      <w:tblGrid>
        <w:gridCol w:w="2511"/>
        <w:gridCol w:w="2235"/>
        <w:gridCol w:w="2235"/>
        <w:gridCol w:w="2289.0000000000005"/>
        <w:gridCol w:w="2030.9999999999995"/>
        <w:tblGridChange w:id="0">
          <w:tblGrid>
            <w:gridCol w:w="2511"/>
            <w:gridCol w:w="2235"/>
            <w:gridCol w:w="2235"/>
            <w:gridCol w:w="2289.0000000000005"/>
            <w:gridCol w:w="2030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Back-End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ind w:left="-2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ind w:left="-27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Aquasoft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ind w:left="-270" w:right="6" w:firstLine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Remoto,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ind w:left="-27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10/2020 - Atual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-270" w:firstLine="0"/>
        <w:rPr>
          <w:color w:val="0f0f0f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  Responsável pelo design e estruturação de sistemas complexos, garantindo que as soluções sejam escaláveis e alinhadas com os objetivos de negócios. Contribuo com expertise técnica em C# e .NET, e lidero decisões estratégicas de arquitetura, assegurando a sustentabilidade e a flexibilidade das soluções desenvolvidas.</w:t>
      </w:r>
    </w:p>
    <w:p w:rsidR="00000000" w:rsidDel="00000000" w:rsidP="00000000" w:rsidRDefault="00000000" w:rsidRPr="00000000" w14:paraId="00000015">
      <w:pPr>
        <w:spacing w:line="240" w:lineRule="auto"/>
        <w:ind w:left="-27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01.0" w:type="dxa"/>
        <w:jc w:val="left"/>
        <w:tblInd w:w="-276.0000000000001" w:type="dxa"/>
        <w:tblLayout w:type="fixed"/>
        <w:tblLook w:val="0600"/>
      </w:tblPr>
      <w:tblGrid>
        <w:gridCol w:w="2511"/>
        <w:gridCol w:w="2235"/>
        <w:gridCol w:w="2235"/>
        <w:gridCol w:w="2289.0000000000005"/>
        <w:gridCol w:w="2030.9999999999995"/>
        <w:tblGridChange w:id="0">
          <w:tblGrid>
            <w:gridCol w:w="2511"/>
            <w:gridCol w:w="2235"/>
            <w:gridCol w:w="2235"/>
            <w:gridCol w:w="2289.0000000000005"/>
            <w:gridCol w:w="2030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Back-End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180" w:lineRule="auto"/>
              <w:ind w:left="-2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180" w:lineRule="auto"/>
              <w:ind w:left="-27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Aquasoft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180" w:lineRule="auto"/>
              <w:ind w:left="-270" w:right="6" w:firstLine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Remoto,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180" w:lineRule="auto"/>
              <w:ind w:left="-27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10/2020 - Atual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left="-270" w:firstLine="0"/>
        <w:rPr>
          <w:color w:val="0f0f0f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  Responsável pelo design e estruturação de sistemas complexos, garantindo que as soluções sejam escaláveis e alinhadas com os objetivos de negócios. Contribuo com expertise técnica em C# e .NET, e lidero decisões estratégicas de arquitetura, assegurando a sustentabilidade e a flexibilidade das soluções desenvolvidas.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-270" w:right="0" w:firstLine="0"/>
        <w:rPr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270" w:firstLine="0"/>
        <w:rPr>
          <w:sz w:val="2"/>
          <w:szCs w:val="2"/>
        </w:rPr>
      </w:pPr>
      <w:r w:rsidDel="00000000" w:rsidR="00000000" w:rsidRPr="00000000">
        <w:rPr>
          <w:b w:val="1"/>
          <w:color w:val="0333a3"/>
          <w:rtl w:val="0"/>
        </w:rPr>
        <w:t xml:space="preserve">Educação </w:t>
      </w: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left"/>
        <w:tblInd w:w="-240.0" w:type="dxa"/>
        <w:tblLayout w:type="fixed"/>
        <w:tblLook w:val="0600"/>
      </w:tblPr>
      <w:tblGrid>
        <w:gridCol w:w="4215"/>
        <w:gridCol w:w="240"/>
        <w:gridCol w:w="2895"/>
        <w:gridCol w:w="1920"/>
        <w:gridCol w:w="1995"/>
        <w:tblGridChange w:id="0">
          <w:tblGrid>
            <w:gridCol w:w="4215"/>
            <w:gridCol w:w="240"/>
            <w:gridCol w:w="2895"/>
            <w:gridCol w:w="192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Mestrado em Engenharia de Computação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ind w:left="-2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ind w:left="-27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ind w:left="-270" w:firstLine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Rio Grande, 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-27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01/2018 - 12/2020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-270" w:firstLine="0"/>
        <w:rPr>
          <w:color w:val="0f0f0f"/>
          <w:sz w:val="18"/>
          <w:szCs w:val="18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•</w:t>
      </w:r>
      <w:r w:rsidDel="00000000" w:rsidR="00000000" w:rsidRPr="00000000">
        <w:rPr>
          <w:color w:val="0f0f0f"/>
          <w:sz w:val="16"/>
          <w:szCs w:val="16"/>
          <w:rtl w:val="0"/>
        </w:rPr>
        <w:t xml:space="preserve">   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Enfoque em pesquisa e desenvolvimento dentro da área de Inteligência Artificial, com participação em projetos de pesquisa e atividades extracurriculares.</w:t>
      </w:r>
    </w:p>
    <w:p w:rsidR="00000000" w:rsidDel="00000000" w:rsidP="00000000" w:rsidRDefault="00000000" w:rsidRPr="00000000" w14:paraId="00000024">
      <w:pPr>
        <w:spacing w:line="240" w:lineRule="auto"/>
        <w:ind w:left="-270" w:firstLine="0"/>
        <w:rPr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27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65.0" w:type="dxa"/>
        <w:jc w:val="left"/>
        <w:tblInd w:w="-240.0" w:type="dxa"/>
        <w:tblLayout w:type="fixed"/>
        <w:tblLook w:val="0600"/>
      </w:tblPr>
      <w:tblGrid>
        <w:gridCol w:w="4350"/>
        <w:gridCol w:w="405"/>
        <w:gridCol w:w="2265"/>
        <w:gridCol w:w="2250"/>
        <w:gridCol w:w="1995"/>
        <w:tblGridChange w:id="0">
          <w:tblGrid>
            <w:gridCol w:w="4350"/>
            <w:gridCol w:w="405"/>
            <w:gridCol w:w="2265"/>
            <w:gridCol w:w="225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Bacharelado em Sistemas de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180" w:lineRule="auto"/>
              <w:ind w:left="-2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180" w:lineRule="auto"/>
              <w:ind w:left="-27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ULBRA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180" w:lineRule="auto"/>
              <w:ind w:left="-270" w:firstLine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Cachoeira do Sul, 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180" w:lineRule="auto"/>
              <w:ind w:left="-27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01/2013 - 12/2017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left="-270" w:firstLine="0"/>
        <w:rPr>
          <w:color w:val="0f0f0f"/>
          <w:sz w:val="18"/>
          <w:szCs w:val="18"/>
        </w:rPr>
      </w:pPr>
      <w:r w:rsidDel="00000000" w:rsidR="00000000" w:rsidRPr="00000000">
        <w:rPr>
          <w:color w:val="1155cc"/>
          <w:sz w:val="16"/>
          <w:szCs w:val="16"/>
          <w:rtl w:val="0"/>
        </w:rPr>
        <w:t xml:space="preserve">•</w:t>
      </w:r>
      <w:r w:rsidDel="00000000" w:rsidR="00000000" w:rsidRPr="00000000">
        <w:rPr>
          <w:color w:val="0f0f0f"/>
          <w:sz w:val="16"/>
          <w:szCs w:val="16"/>
          <w:rtl w:val="0"/>
        </w:rPr>
        <w:t xml:space="preserve">   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Formação abrangente em tecnologia da informação, com foco em administração de empresas de tecnologia e desenvolvimento de soluções tecnológicas.</w:t>
      </w:r>
    </w:p>
    <w:p w:rsidR="00000000" w:rsidDel="00000000" w:rsidP="00000000" w:rsidRDefault="00000000" w:rsidRPr="00000000" w14:paraId="0000002C">
      <w:pPr>
        <w:spacing w:line="240" w:lineRule="auto"/>
        <w:ind w:left="-270" w:firstLine="0"/>
        <w:rPr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-270" w:firstLine="0"/>
        <w:rPr>
          <w:b w:val="1"/>
          <w:color w:val="0f0f0f"/>
          <w:sz w:val="18"/>
          <w:szCs w:val="18"/>
        </w:rPr>
      </w:pPr>
      <w:r w:rsidDel="00000000" w:rsidR="00000000" w:rsidRPr="00000000">
        <w:rPr>
          <w:b w:val="1"/>
          <w:color w:val="0333a3"/>
          <w:rtl w:val="0"/>
        </w:rPr>
        <w:t xml:space="preserve">Licenças &amp; Certificações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f0f0f"/>
          <w:sz w:val="18"/>
          <w:szCs w:val="18"/>
          <w:rtl w:val="0"/>
        </w:rPr>
        <w:t xml:space="preserve">Certificação técnica ou certificado de curso relevante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: Descrição sobre principais conhecimentos                                           </w:t>
      </w:r>
      <w:r w:rsidDel="00000000" w:rsidR="00000000" w:rsidRPr="00000000">
        <w:rPr>
          <w:b w:val="1"/>
          <w:color w:val="0f0f0f"/>
          <w:sz w:val="18"/>
          <w:szCs w:val="18"/>
          <w:rtl w:val="0"/>
        </w:rPr>
        <w:t xml:space="preserve">(01/2024)</w:t>
        <w:br w:type="textWrapping"/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0f0f0f"/>
          <w:sz w:val="18"/>
          <w:szCs w:val="18"/>
          <w:rtl w:val="0"/>
        </w:rPr>
        <w:t xml:space="preserve">TOEFL</w:t>
      </w:r>
      <w:r w:rsidDel="00000000" w:rsidR="00000000" w:rsidRPr="00000000">
        <w:rPr>
          <w:color w:val="0f0f0f"/>
          <w:sz w:val="18"/>
          <w:szCs w:val="18"/>
          <w:rtl w:val="0"/>
        </w:rPr>
        <w:t xml:space="preserve">: Para quem tem certificação de idiomas 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f0f0f"/>
          <w:sz w:val="18"/>
          <w:szCs w:val="18"/>
          <w:rtl w:val="0"/>
        </w:rPr>
        <w:t xml:space="preserve">(01/2024)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90" w:top="566.9291338582677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spacing w:line="240" w:lineRule="auto"/>
      <w:jc w:val="center"/>
      <w:rPr>
        <w:rFonts w:ascii="Nunito Medium" w:cs="Nunito Medium" w:eastAsia="Nunito Medium" w:hAnsi="Nunito Medium"/>
        <w:sz w:val="32"/>
        <w:szCs w:val="32"/>
      </w:rPr>
    </w:pPr>
    <w:r w:rsidDel="00000000" w:rsidR="00000000" w:rsidRPr="00000000">
      <w:rPr>
        <w:rFonts w:ascii="Nunito Medium" w:cs="Nunito Medium" w:eastAsia="Nunito Medium" w:hAnsi="Nunito Medium"/>
        <w:sz w:val="32"/>
        <w:szCs w:val="32"/>
        <w:rtl w:val="0"/>
      </w:rPr>
      <w:t xml:space="preserve">Giulia Bordignon | Desenvolvedora Sênior Backend</w:t>
    </w:r>
  </w:p>
  <w:p w:rsidR="00000000" w:rsidDel="00000000" w:rsidP="00000000" w:rsidRDefault="00000000" w:rsidRPr="00000000" w14:paraId="00000030">
    <w:pPr>
      <w:widowControl w:val="0"/>
      <w:spacing w:line="240" w:lineRule="auto"/>
      <w:jc w:val="center"/>
      <w:rPr>
        <w:rFonts w:ascii="Nunito Medium" w:cs="Nunito Medium" w:eastAsia="Nunito Medium" w:hAnsi="Nunito Medium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yperlink" Target="https://github.com/sspaceco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spacecod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Pmg0v/DECF3F3JwCzlwRhNHHg==">CgMxLjA4AHIhMXJhY0lvZEVkajAweURLQlJJWVhSRk1YZ1NjeEphNkp5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