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75" w:rsidRDefault="00963275" w:rsidP="00963275"/>
    <w:p w:rsidR="00963275" w:rsidRDefault="00963275" w:rsidP="00963275">
      <w:r>
        <w:t>Kebebasan Memeluk Agama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“Setiap orang bebas memeluk agamanya masing-masing dan untuk beribadat menurut agamanya dan kepercayaannya itu.” (Pasal 22 ayat 1 UU no 39 tahun 1999). Pasal tersebut menjelaskan bahwa kemerdekaan beragama terjadi ketika setiap orang bebas dan tanpa halangan / ancaman dari orang lain untuk beribadah sesuai agama dan kepercayaan masing-masing.</w:t>
      </w:r>
    </w:p>
    <w:p w:rsidR="00963275" w:rsidRDefault="00963275" w:rsidP="00963275">
      <w:r>
        <w:t xml:space="preserve"> </w:t>
      </w:r>
    </w:p>
    <w:p w:rsidR="00963275" w:rsidRDefault="00963275" w:rsidP="00963275"/>
    <w:p w:rsidR="00963275" w:rsidRDefault="00963275" w:rsidP="00963275">
      <w:r>
        <w:t>2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Negara Menjamin Kemerdekaan Warganya untuk Beribadah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“Negara menjamin kemerdekaan setiap orang memeluk agamanya masing-masing, dan untuk beribadat menurut agamanya dan kepercayaannya itu.” (Pasal 22 ayat 2 UU no 39 tahun 1999). Pasal tersebut menjelaskan bahwa Negara harus menjamin warganya untuk tetap aman dalam melaksanakan ibadah sesuai agamanya masing-masing tanpa ada paksaan atau pelarangan dari orang lain.</w:t>
      </w:r>
    </w:p>
    <w:p w:rsidR="00963275" w:rsidRDefault="00963275" w:rsidP="00963275">
      <w:r>
        <w:t xml:space="preserve"> </w:t>
      </w:r>
    </w:p>
    <w:p w:rsidR="00963275" w:rsidRDefault="00963275" w:rsidP="00963275"/>
    <w:p w:rsidR="00963275" w:rsidRDefault="00963275" w:rsidP="00963275">
      <w:r>
        <w:t>3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Kebebasan untuk menetapkan agama atas pilihan sendiri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“Setiap orang berhak atas kebebasan berpikir, keyakinan dan beragama. Hak ini mencakup kebebasan untuk menetapkan agama atau kepercayaan atas pilihannya sendiri, dan kebebasan, baik secara sendiri maupun bersama-sama dengan orang lain, baik di tempat umum atau tertutup, untuk menjalankan agama dan kepercayaannya dalam kegiatan ibadah, pentaatan, pengamalan, dan pengajaran.” (Pasal 18 ayat 1 UU no 12 tahun 2005). Pasal inimenjelaskan bahwa setiap orang berhak menetapkann agamanya sendiri atau pemikirannya sendiri dan kebebasan untuk beribadah di tempat umum maupun tertutup.</w:t>
      </w:r>
    </w:p>
    <w:p w:rsidR="00963275" w:rsidRDefault="00963275" w:rsidP="00963275">
      <w:r>
        <w:t xml:space="preserve"> </w:t>
      </w:r>
    </w:p>
    <w:p w:rsidR="00963275" w:rsidRDefault="00963275" w:rsidP="00963275"/>
    <w:p w:rsidR="00963275" w:rsidRDefault="00963275" w:rsidP="00963275">
      <w:r>
        <w:t>4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Tanpa paksaan dalam menganut agama / kepercayaan</w:t>
      </w:r>
    </w:p>
    <w:p w:rsidR="00963275" w:rsidRDefault="00963275" w:rsidP="00963275">
      <w:r>
        <w:lastRenderedPageBreak/>
        <w:t xml:space="preserve"> </w:t>
      </w:r>
    </w:p>
    <w:p w:rsidR="00963275" w:rsidRDefault="00963275" w:rsidP="00963275">
      <w:r>
        <w:t>“Tidak seorang pun dapat dipaksa sehingga terganggu kebebasannya untuk menganut atau menetapkan agama atau kepercayaannya sesuai dengan pilihannya.” (Pasal 18 ayat 2 UU no 12 tahun 2005). Pasal ini menjelaskan bahwa tidak ada seorang pun yang bisa memaksa seseorang sehingga kegiatan beribadah orang itu trganggu</w:t>
      </w:r>
    </w:p>
    <w:p w:rsidR="00963275" w:rsidRDefault="00963275" w:rsidP="00963275"/>
    <w:p w:rsidR="00963275" w:rsidRDefault="00963275" w:rsidP="00963275">
      <w:r>
        <w:t xml:space="preserve">                                                    </w:t>
      </w:r>
    </w:p>
    <w:p w:rsidR="00963275" w:rsidRDefault="00963275" w:rsidP="00963275">
      <w:r>
        <w:t xml:space="preserve"> </w:t>
      </w:r>
    </w:p>
    <w:p w:rsidR="00963275" w:rsidRDefault="00963275" w:rsidP="00963275"/>
    <w:p w:rsidR="00963275" w:rsidRDefault="00963275" w:rsidP="00963275">
      <w:r>
        <w:t>5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Hanya  ketentuan hukum yang bisa membatasi seseorang dalam menentukan agama / kepercayaan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“Kebebasan menjalankan dan menentukan agama atau kepercayaan seseorang hanya dapat dibatasi oleh ketentuan berdasarkan hukum, dan yang diperlukan untuk melindungi keamanan, ketertiban, kesehatan, atau moral masyarakat, atau hak-hak dan kebebasan mendasar orang lain.” (Pasal 18 ayat 3 UU no 12 tahun 2005). Pasal ini menjelaskan bahwa yang dapat membatasi seseorang untuk menjalankan dan atau menentukan agama adalah hukum. Jadi, selain hukum , tidak ada yang bisa memaksakan kehendak orang lain untuk menjalankan dan menentukan agama / kepercayaan.</w:t>
      </w:r>
    </w:p>
    <w:p w:rsidR="00963275" w:rsidRDefault="00963275" w:rsidP="00963275">
      <w:r>
        <w:t xml:space="preserve"> </w:t>
      </w:r>
    </w:p>
    <w:p w:rsidR="00963275" w:rsidRDefault="00963275" w:rsidP="00963275"/>
    <w:p w:rsidR="00963275" w:rsidRDefault="00963275" w:rsidP="00963275">
      <w:r>
        <w:t>6</w:t>
      </w:r>
    </w:p>
    <w:p w:rsidR="00963275" w:rsidRDefault="00963275" w:rsidP="00963275">
      <w:r>
        <w:t xml:space="preserve"> </w:t>
      </w:r>
    </w:p>
    <w:p w:rsidR="00963275" w:rsidRDefault="00963275" w:rsidP="00963275">
      <w:bookmarkStart w:id="0" w:name="_GoBack"/>
      <w:r>
        <w:t>Pendidikan agama harus sesuai dengan keyakinan masing-masing individu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>“Negara Pihak dalam Kovenan ini berjanji untuk menghormati kebebasan orang tua dan apabila diakui, wali hukum yang sah, untuk memastikan bahwa pendidikan agama dan moral bagi anak-anak mereka sesuai dengan keyakinan mereka sendiri.” (Pasal 18 ayat 4 UU no 12 tahun 2005).</w:t>
      </w:r>
    </w:p>
    <w:p w:rsidR="00963275" w:rsidRDefault="00963275" w:rsidP="00963275"/>
    <w:p w:rsidR="00963275" w:rsidRDefault="00963275" w:rsidP="00963275">
      <w:r>
        <w:t>Pasal ini mejelaskan bahwa Negara peserta konvenan internasional tentang hak-hak sipil dan politik ini harus menghormati kebebasan orang tua untuk memastikan kesesuaian antara pendidikan agama dengan agama yang dianut.</w:t>
      </w:r>
    </w:p>
    <w:bookmarkEnd w:id="0"/>
    <w:p w:rsidR="00963275" w:rsidRDefault="00963275" w:rsidP="00963275">
      <w:r>
        <w:t xml:space="preserve"> </w:t>
      </w:r>
    </w:p>
    <w:p w:rsidR="00963275" w:rsidRDefault="00963275" w:rsidP="00963275"/>
    <w:p w:rsidR="00963275" w:rsidRDefault="00963275" w:rsidP="00963275"/>
    <w:p w:rsidR="00963275" w:rsidRDefault="00963275" w:rsidP="00963275"/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lastRenderedPageBreak/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lastRenderedPageBreak/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963275" w:rsidRDefault="00963275" w:rsidP="00963275">
      <w:r>
        <w:t xml:space="preserve"> </w:t>
      </w:r>
    </w:p>
    <w:p w:rsidR="00D2647F" w:rsidRDefault="00EC66D0"/>
    <w:sectPr w:rsidR="00D2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75"/>
    <w:rsid w:val="000C77B4"/>
    <w:rsid w:val="00963275"/>
    <w:rsid w:val="00B60B36"/>
    <w:rsid w:val="00E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954DA-7A91-4A37-BCEF-6782D2E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2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4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9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1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35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2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47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263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42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911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58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94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144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50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47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schutze spitzenreiter</dc:creator>
  <cp:keywords/>
  <dc:description/>
  <cp:lastModifiedBy>schutze spitzenreiter</cp:lastModifiedBy>
  <cp:revision>1</cp:revision>
  <dcterms:created xsi:type="dcterms:W3CDTF">2015-09-15T05:50:00Z</dcterms:created>
  <dcterms:modified xsi:type="dcterms:W3CDTF">2015-09-15T08:09:00Z</dcterms:modified>
</cp:coreProperties>
</file>