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[FR] ACME QUARTERLY REPORT — Q2 2026</w:t>
      </w:r>
    </w:p>
    <w:p>
      <w:pPr>
        <w:pStyle w:val="Heading1"/>
      </w:pPr>
      <w:r>
        <w:t xml:space="preserve">[FR] EXECUTIVE SUMMARY</w:t>
      </w:r>
    </w:p>
    <w:p>
      <w:r>
        <w:t xml:space="preserve">[FR] ACME DELIVERED A STRONG Q2 WITH REVENUE AND ACTIVE-USER GROWTH BOTH EXCEEDING PLAN. </w:t>
      </w:r>
      <w:r>
        <w:rPr>
          <w:b/>
          <w:bCs/>
        </w:rPr>
        <w:t xml:space="preserve">[FR] NET RETENTION CROSSED 110% FOR THE FIRST TIME</w:t>
      </w:r>
      <w:r>
        <w:t xml:space="preserve">[FR] , DRIVEN BY UPSELL INTO THE ENTERPRISE SEGMENT AND LOWER THAN EXPECTED CHURN ACROSS THE SMB BOOK.</w:t>
      </w:r>
    </w:p>
    <w:p>
      <w:r>
        <w:t xml:space="preserve">[FR] OPERATING MARGIN HELD STEADY AT 24% EVEN AFTER THE MARKETING INVESTMENT IN MARCH. </w:t>
      </w:r>
      <w:r>
        <w:rPr>
          <w:i/>
          <w:iCs/>
        </w:rPr>
        <w:t xml:space="preserve">[FR] CUSTOMER SATISFACTION REACHED AN ALL-TIME HIGH</w:t>
      </w:r>
      <w:r>
        <w:t xml:space="preserve">[FR] , WITH A CSAT SCORE OF 4.6 OUT OF 5 ACROSS THE SURVEYED COHORT.</w:t>
      </w:r>
    </w:p>
    <w:p>
      <w:pPr>
        <w:pStyle w:val="Heading2"/>
      </w:pPr>
      <w:r>
        <w:t xml:space="preserve">[FR]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[FR] METRIC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[FR] Q1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[FR] Q2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[FR] CHANGE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[FR] REVENUE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$2.10M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$2.45M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+16.7%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[FR] ACTIVE USERS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18,420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21,990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+19.4%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[FR] CHURN RATE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4.2%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3.6%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-0.6 PP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[FR] NET RETENTION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108%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112%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+4 PP</w:t>
            </w:r>
          </w:p>
        </w:tc>
      </w:tr>
    </w:tbl>
    <w:p>
      <w:pPr>
        <w:pStyle w:val="Heading2"/>
        <w:spacing w:before="200"/>
      </w:pPr>
      <w:r>
        <w:t xml:space="preserve">[FR] HIGHLIGHTS</w:t>
      </w:r>
    </w:p>
    <w:p>
      <w:pPr>
        <w:pStyle w:val="ListParagraph"/>
        <w:numPr>
          <w:ilvl w:val="0"/>
          <w:numId w:val="2"/>
        </w:numPr>
      </w:pPr>
      <w:r>
        <w:t xml:space="preserve">[FR] CLOSED THREE ENTERPRISE DEALS WORTH A COMBINED $480K IN ANNUAL CONTRACT VALUE.</w:t>
      </w:r>
    </w:p>
    <w:p>
      <w:pPr>
        <w:pStyle w:val="ListParagraph"/>
        <w:numPr>
          <w:ilvl w:val="0"/>
          <w:numId w:val="2"/>
        </w:numPr>
      </w:pPr>
      <w:r>
        <w:t xml:space="preserve">[FR] SHIPPED THE NEW ANALYTICS DASHBOARD TO GENERAL AVAILABILITY AHEAD OF SCHEDULE.</w:t>
      </w:r>
    </w:p>
    <w:p>
      <w:pPr>
        <w:pStyle w:val="ListParagraph"/>
        <w:numPr>
          <w:ilvl w:val="0"/>
          <w:numId w:val="2"/>
        </w:numPr>
      </w:pPr>
      <w:r>
        <w:t xml:space="preserve">[FR] EXPANDED SUPPORT COVERAGE TO 24/5 WITH THE NEW LISBON TEAM GOING LIVE IN MAY.</w:t>
      </w:r>
    </w:p>
    <w:p>
      <w:pPr>
        <w:pStyle w:val="Heading2"/>
      </w:pPr>
      <w:r>
        <w:t xml:space="preserve">[FR] ACTION ITEMS</w:t>
      </w:r>
    </w:p>
    <w:p>
      <w:pPr>
        <w:pStyle w:val="ListParagraph"/>
        <w:numPr>
          <w:ilvl w:val="0"/>
          <w:numId w:val="3"/>
        </w:numPr>
      </w:pPr>
      <w:r>
        <w:t xml:space="preserve">[FR] FINALIZE THE FY27 HIRING PLAN BY THE END OF JULY.</w:t>
      </w:r>
    </w:p>
    <w:p>
      <w:pPr>
        <w:pStyle w:val="ListParagraph"/>
        <w:numPr>
          <w:ilvl w:val="0"/>
          <w:numId w:val="3"/>
        </w:numPr>
      </w:pPr>
      <w:r>
        <w:t xml:space="preserve">[FR] LAUNCH THE PARTNER REFERRAL PROGRAM IN TWO PILOT REGIONS.</w:t>
      </w:r>
    </w:p>
    <w:p>
      <w:pPr>
        <w:pStyle w:val="ListParagraph"/>
        <w:numPr>
          <w:ilvl w:val="0"/>
          <w:numId w:val="3"/>
        </w:numPr>
      </w:pPr>
      <w:r>
        <w:t xml:space="preserve">[FR] REDUCE AVERAGE TICKET-RESOLUTION TIME FROM 14 HOURS TO UNDER 9.</w:t>
      </w:r>
    </w:p>
    <w:p>
      <w:r>
        <w:t xml:space="preserve">[FR] FOR THE UNDERLYING NUMBERS, </w:t>
      </w:r>
      <w:hyperlink r:id="rIdp5pmpara0zysxj9n6puvo">
        <w:r>
          <w:rPr>
            <w:rStyle w:val="Hyperlink"/>
          </w:rPr>
          <w:t xml:space="preserve">[FR] SEE THE FULL DASHBOARD</w:t>
        </w:r>
      </w:hyperlink>
      <w:r>
        <w:t xml:space="preserve">[FR] .</w:t>
      </w:r>
    </w:p>
    <w:p>
      <w:pPr>
        <w:spacing w:before="120"/>
      </w:pPr>
      <w:r>
        <w:t xml:space="preserve">[FR] OVERALL, Q2 SETS US UP FOR A CONFIDENT SECOND HALF OF THE YEAR. THANK YOU TO EVERY TEAM THAT CONTRIBUTED.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Calibri" w:cs="Calibri" w:eastAsia="Calibri" w:hAnsi="Calibr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5pmpara0zysxj9n6puvo" Type="http://schemas.openxmlformats.org/officeDocument/2006/relationships/hyperlink" Target="https://example.com/dashboar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2026-04-29T17:59:18.914Z</dcterms:created>
  <dcterms:modified xsi:type="dcterms:W3CDTF">2026-04-29T17:59:18.914Z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