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V3 Round-trip Stress Test</w:t>
      </w:r>
    </w:p>
    <w:p>
      <w:r>
        <w:t xml:space="preserve">Revenue grew </w:t>
      </w:r>
      <w:r>
        <w:rPr>
          <w:b/>
          <w:bCs/>
        </w:rPr>
        <w:t xml:space="preserve">16.7%</w:t>
      </w:r>
      <w:r>
        <w:t xml:space="preserve"> in Q2</w:t>
      </w:r>
      <w:r>
        <w:rPr>
          <w:rStyle w:val="FootnoteReference"/>
        </w:rPr>
        <w:footnoteReference w:id="1"/>
      </w:r>
      <w:r>
        <w:t xml:space="preserve">, driven by enterprise contracts.</w:t>
      </w:r>
    </w:p>
    <w:p>
      <w:bookmarkStart w:name="key-finding" w:id="1"/>
      <w:r>
        <w:t xml:space="preserve">Customer satisfaction reached an all-time high of </w:t>
      </w:r>
      <w:r>
        <w:rPr>
          <w:i/>
          <w:iCs/>
        </w:rPr>
        <w:t xml:space="preserve">4.6 out of 5</w:t>
      </w:r>
      <w:bookmarkEnd w:id="1"/>
      <w:r>
        <w:t xml:space="preserve"> across the surveyed cohort.</w:t>
      </w:r>
    </w:p>
    <w:p>
      <w:r>
        <w:t xml:space="preserve">Section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of </w:t>
      </w:r>
      <w:r>
        <w:fldChar w:fldCharType="begin"/>
        <w:instrText xml:space="preserve">NUMPAGES</w:instrText>
        <w:fldChar w:fldCharType="separate"/>
        <w:fldChar w:fldCharType="end"/>
      </w:r>
    </w:p>
    <w:p>
      <w:pPr>
        <w:tabs>
          <w:tab w:val="right" w:pos="9026"/>
        </w:tabs>
      </w:pPr>
      <w:r>
        <w:t xml:space="preserve">Approved by</w:t>
      </w:r>
      <w:r>
        <w:t xml:space="preserve">	Jane Doe, CFO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Source: internal Q2 financials, audited 2026-04-15.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2026-04-29T18:45:20.959Z</dcterms:created>
  <dcterms:modified xsi:type="dcterms:W3CDTF">2026-04-29T18:45:20.959Z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