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[FR] Acme Quarterly Report — Q2 2026</w:t>
      </w:r>
    </w:p>
    <w:p>
      <w:pPr>
        <w:pStyle w:val="Heading1"/>
      </w:pPr>
      <w:r>
        <w:t xml:space="preserve">[FR] Executive Summary</w:t>
      </w:r>
    </w:p>
    <w:p>
      <w:r>
        <w:rPr>
          <w:b/>
          <w:bCs/>
        </w:rPr>
        <w:t xml:space="preserve">[FR] Acme delivered a strong Q2 with revenue and active-user growth both exceeding plan. Net retention crossed 110% for the first time, driven by upsell into the enterprise segment and lower than expected churn across the SMB book.</w:t>
      </w:r>
    </w:p>
    <w:p>
      <w:r>
        <w:rPr>
          <w:i/>
          <w:iCs/>
        </w:rPr>
        <w:t xml:space="preserve">[FR] Operating margin held steady at 24% even after the marketing investment in March. Customer satisfaction reached an all-time high, with a CSAT score of 4.6 out of 5 across the surveyed cohort.</w:t>
      </w:r>
    </w:p>
    <w:p>
      <w:pPr>
        <w:pStyle w:val="Heading2"/>
      </w:pPr>
      <w:r>
        <w:t xml:space="preserve">[FR]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[FR] Metric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[FR] Q1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[FR] Q2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[FR] Change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[FR] Revenue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$2.10M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$2.45M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+16.7%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[FR] Active users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18,420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21,990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+19.4%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[FR] Churn 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4.2%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3.6%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-0.6 pp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[FR] Net retention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108%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112%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[FR] +4 pp</w:t>
            </w:r>
          </w:p>
        </w:tc>
      </w:tr>
    </w:tbl>
    <w:p>
      <w:pPr>
        <w:pStyle w:val="Heading2"/>
        <w:spacing w:before="200"/>
      </w:pPr>
      <w:r>
        <w:t xml:space="preserve">[FR] Highlights</w:t>
      </w:r>
    </w:p>
    <w:p>
      <w:pPr>
        <w:pStyle w:val="ListParagraph"/>
        <w:numPr>
          <w:ilvl w:val="0"/>
          <w:numId w:val="2"/>
        </w:numPr>
      </w:pPr>
      <w:r>
        <w:t xml:space="preserve">[FR] Closed three enterprise deals worth a combined $480K in annual contract value.</w:t>
      </w:r>
    </w:p>
    <w:p>
      <w:pPr>
        <w:pStyle w:val="ListParagraph"/>
        <w:numPr>
          <w:ilvl w:val="0"/>
          <w:numId w:val="2"/>
        </w:numPr>
      </w:pPr>
      <w:r>
        <w:t xml:space="preserve">[FR] Shipped the new analytics dashboard to general availability ahead of schedule.</w:t>
      </w:r>
    </w:p>
    <w:p>
      <w:pPr>
        <w:pStyle w:val="ListParagraph"/>
        <w:numPr>
          <w:ilvl w:val="0"/>
          <w:numId w:val="2"/>
        </w:numPr>
      </w:pPr>
      <w:r>
        <w:t xml:space="preserve">[FR] Expanded support coverage to 24/5 with the new Lisbon team going live in May.</w:t>
      </w:r>
    </w:p>
    <w:p>
      <w:pPr>
        <w:pStyle w:val="Heading2"/>
      </w:pPr>
      <w:r>
        <w:t xml:space="preserve">[FR] Action Items</w:t>
      </w:r>
    </w:p>
    <w:p>
      <w:pPr>
        <w:pStyle w:val="ListParagraph"/>
        <w:numPr>
          <w:ilvl w:val="0"/>
          <w:numId w:val="3"/>
        </w:numPr>
      </w:pPr>
      <w:r>
        <w:t xml:space="preserve">[FR] Finalize the FY27 hiring plan by the end of July.</w:t>
      </w:r>
    </w:p>
    <w:p>
      <w:pPr>
        <w:pStyle w:val="ListParagraph"/>
        <w:numPr>
          <w:ilvl w:val="0"/>
          <w:numId w:val="3"/>
        </w:numPr>
      </w:pPr>
      <w:r>
        <w:t xml:space="preserve">[FR] Launch the partner referral program in two pilot regions.</w:t>
      </w:r>
    </w:p>
    <w:p>
      <w:pPr>
        <w:pStyle w:val="ListParagraph"/>
        <w:numPr>
          <w:ilvl w:val="0"/>
          <w:numId w:val="3"/>
        </w:numPr>
      </w:pPr>
      <w:r>
        <w:t xml:space="preserve">[FR] Reduce average ticket-resolution time from 14 hours to under 9.</w:t>
      </w:r>
    </w:p>
    <w:p>
      <w:r>
        <w:rPr>
          <w:rStyle w:val="Hyperlink"/>
        </w:rPr>
        <w:t xml:space="preserve">[FR] For the underlying numbers, see the full dashboard.</w:t>
      </w:r>
    </w:p>
    <w:p>
      <w:pPr>
        <w:spacing w:before="120"/>
      </w:pPr>
      <w:r>
        <w:t xml:space="preserve">[FR] Overall, Q2 sets us up for a confident second half of the year. Thank you to every team that contributed.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Calibri" w:cs="Calibri" w:eastAsia="Calibri" w:hAnsi="Calibr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5pmpara0zysxj9n6puvo" Type="http://schemas.openxmlformats.org/officeDocument/2006/relationships/hyperlink" Target="https://example.com/dashboar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2026-04-29T17:59:18.914Z</dcterms:created>
  <dcterms:modified xsi:type="dcterms:W3CDTF">2026-04-29T17:59:18.914Z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