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Onboarding an RWS Linguistic-Validation 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TRN-RWS-001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Onboarding an RWS Linguistic-Validation PO into the portal — staff training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4320"/>
          </w:tcPr>
          <w:p>
            <w:r>
              <w:t>Quality / Operations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4320"/>
          </w:tcPr>
          <w:p>
            <w:r>
              <w:t>Staff (LV operations / project management)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 xml:space="preserve">Draft v0.1 — 2026-06-25 </w:t>
            </w:r>
            <w:r>
              <w:rPr>
                <w:i/>
              </w:rPr>
              <w:t>(screenshots to be embedded in the controlled .docx)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Related</w:t>
            </w:r>
          </w:p>
        </w:tc>
        <w:tc>
          <w:tcPr>
            <w:tcW w:type="dxa" w:w="4320"/>
          </w:tcPr>
          <w:p>
            <w:r>
              <w:t>SOP-LV-001 (master LV SOP) · SOP-PR-003…011 (per-step SOPs) · the task→template map below</w:t>
            </w:r>
          </w:p>
        </w:tc>
      </w:tr>
    </w:tbl>
    <w:p>
      <w:pPr>
        <w:pStyle w:val="Heading2"/>
      </w:pPr>
      <w:r>
        <w:t>1. Purpose &amp; who this is for</w:t>
      </w:r>
    </w:p>
    <w:p>
      <w:r>
        <w:t xml:space="preserve">This guide trains </w:t>
      </w:r>
      <w:r>
        <w:rPr>
          <w:b/>
        </w:rPr>
        <w:t>Cethos LV operations and project-management staff</w:t>
      </w:r>
      <w:r>
        <w:t xml:space="preserve"> to onboard a </w:t>
      </w:r>
      <w:r>
        <w:rPr>
          <w:b/>
        </w:rPr>
        <w:t>single RWS Life Sciences purchase order (PO)</w:t>
      </w:r>
      <w:r>
        <w:t xml:space="preserve"> into the portal, correctly and repeatably, so the record is ISO 17100-defensible for audit. Read SOP-LV-001 first for the </w:t>
      </w:r>
      <w:r>
        <w:rPr>
          <w:i/>
        </w:rPr>
        <w:t>why</w:t>
      </w:r>
      <w:r>
        <w:t xml:space="preserve">; this guide is the </w:t>
      </w:r>
      <w:r>
        <w:rPr>
          <w:i/>
        </w:rPr>
        <w:t>how, click by click</w:t>
      </w:r>
      <w:r>
        <w:t>.</w:t>
      </w:r>
    </w:p>
    <w:p>
      <w:pPr>
        <w:ind w:left="360"/>
      </w:pPr>
      <w:r>
        <w:rPr>
          <w:b/>
          <w:i/>
          <w:color w:val="707070"/>
        </w:rPr>
        <w:t>One rule to remember:</w:t>
      </w:r>
      <w:r>
        <w:rPr>
          <w:i/>
          <w:color w:val="707070"/>
        </w:rPr>
        <w:t xml:space="preserve"> </w:t>
      </w:r>
      <w:r>
        <w:rPr>
          <w:b/>
          <w:i/>
          <w:color w:val="707070"/>
        </w:rPr>
        <w:t>1 RWS PO = 1 Cethos order = one LV step + one independent internal QA.</w:t>
      </w:r>
      <w:r>
        <w:rPr>
          <w:i/>
          <w:color w:val="707070"/>
        </w:rPr>
        <w:t xml:space="preserve"> RWS manages the full validation cycle and buys </w:t>
      </w:r>
      <w:r>
        <w:rPr>
          <w:i/>
          <w:color w:val="707070"/>
        </w:rPr>
        <w:t>individual steps</w:t>
      </w:r>
      <w:r>
        <w:rPr>
          <w:i/>
          <w:color w:val="707070"/>
        </w:rPr>
        <w:t xml:space="preserve"> from us. We never chain steps and never email RWS an order confirmation — they already sent the PO.</w:t>
      </w:r>
    </w:p>
    <w:p>
      <w:pPr>
        <w:pStyle w:val="Heading2"/>
      </w:pPr>
      <w:r>
        <w:t>2. The end-to-end flow</w:t>
      </w:r>
    </w:p>
    <w:p>
      <w:r>
        <w:rPr>
          <w:rFonts w:ascii="Consolas" w:hAnsi="Consolas"/>
          <w:sz w:val="18"/>
        </w:rPr>
        <w:t>PO arrives (lv@cethos.com)</w:t>
        <w:br/>
        <w:t xml:space="preserve">   └─► 1. Read the PO  →  2. Map task code → service + workflow template</w:t>
        <w:br/>
        <w:t xml:space="preserve">        └─► 3. Create the order (un-delivered shell)  →  4. Pre-production record (§4.4)</w:t>
        <w:br/>
        <w:t xml:space="preserve">             └─► 5. Assign the qualified vendor  →  6. Production + independent QA</w:t>
        <w:br/>
        <w:t xml:space="preserve">                  └─► 7. Deliver to client  →  8. Complete + archive</w:t>
      </w:r>
    </w:p>
    <w:p>
      <w:pPr>
        <w:pStyle w:val="Heading2"/>
      </w:pPr>
      <w:r>
        <w:t>3. Step 1 — A PO arrives</w:t>
      </w:r>
    </w:p>
    <w:p>
      <w:r>
        <w:t xml:space="preserve">RWS POs land in </w:t>
      </w:r>
      <w:r>
        <w:rPr>
          <w:b/>
        </w:rPr>
        <w:t>lv@cethos.com</w:t>
      </w:r>
      <w:r>
        <w:t xml:space="preserve">, auto-generated, subject </w:t>
      </w:r>
      <w:r>
        <w:rPr>
          <w:rFonts w:ascii="Consolas" w:hAnsi="Consolas"/>
          <w:sz w:val="19"/>
        </w:rPr>
        <w:t>RWS Life Sciences, Inc. PO: &lt;PO#&gt; for &lt;project&gt; Issued</w:t>
      </w:r>
      <w:r>
        <w:t xml:space="preserve">, sender = the assigning PM's </w:t>
      </w:r>
      <w:r>
        <w:rPr>
          <w:rFonts w:ascii="Consolas" w:hAnsi="Consolas"/>
          <w:sz w:val="19"/>
        </w:rPr>
        <w:t>@rws.com</w:t>
      </w:r>
      <w:r>
        <w:t xml:space="preserve"> address.</w:t>
      </w:r>
    </w:p>
    <w:p>
      <w:pPr>
        <w:ind w:left="360"/>
      </w:pPr>
      <w:r>
        <w:rPr>
          <w:i/>
          <w:color w:val="707070"/>
        </w:rPr>
        <w:t>[SCREENSHOT 1: the PO email in the lv@cethos.com inbox]</w:t>
      </w:r>
    </w:p>
    <w:p>
      <w:pPr>
        <w:pStyle w:val="Heading2"/>
      </w:pPr>
      <w:r>
        <w:t>4. Step 2 — Read the PO</w:t>
      </w:r>
    </w:p>
    <w:p>
      <w:r>
        <w:t xml:space="preserve">Every PO body has a header block and a one-line-item rate table. Capture these </w:t>
      </w:r>
      <w:r>
        <w:rPr>
          <w:b/>
        </w:rPr>
        <w:t>six fields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 in the 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Use it for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Purchase Order: `&lt;PO#&gt;`</w:t>
            </w:r>
          </w:p>
        </w:tc>
        <w:tc>
          <w:tcPr>
            <w:tcW w:type="dxa" w:w="4320"/>
          </w:tcPr>
          <w:p>
            <w:r>
              <w:t>the order's PO number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Assigned By</w:t>
            </w:r>
          </w:p>
        </w:tc>
        <w:tc>
          <w:tcPr>
            <w:tcW w:type="dxa" w:w="4320"/>
          </w:tcPr>
          <w:p>
            <w:r>
              <w:t xml:space="preserve">the </w:t>
            </w:r>
            <w:r>
              <w:rPr>
                <w:b/>
              </w:rPr>
              <w:t>client PM</w:t>
            </w:r>
            <w:r>
              <w:t xml:space="preserve"> (create/select this person under the RWS company)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PO 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4320"/>
          </w:tcPr>
          <w:p>
            <w:r>
              <w:t>the study/protocol (record in the pre-production note)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Project Number</w:t>
            </w:r>
            <w:r>
              <w:t xml:space="preserve"> (e.g. </w:t>
            </w:r>
            <w:r>
              <w:rPr>
                <w:rFonts w:ascii="Consolas" w:hAnsi="Consolas"/>
                <w:sz w:val="19"/>
              </w:rPr>
              <w:t>251-E4006A-EILV</w:t>
            </w:r>
            <w:r>
              <w:t>)</w:t>
            </w:r>
          </w:p>
        </w:tc>
        <w:tc>
          <w:tcPr>
            <w:tcW w:type="dxa" w:w="4320"/>
          </w:tcPr>
          <w:p>
            <w:r>
              <w:t xml:space="preserve">the </w:t>
            </w:r>
            <w:r>
              <w:rPr>
                <w:b/>
              </w:rPr>
              <w:t>client project number</w:t>
            </w:r>
            <w:r>
              <w:t xml:space="preserve"> (internal project)</w:t>
            </w:r>
          </w:p>
        </w:tc>
      </w:tr>
      <w:tr>
        <w:tc>
          <w:tcPr>
            <w:tcW w:type="dxa" w:w="4320"/>
          </w:tcPr>
          <w:p>
            <w:r>
              <w:t xml:space="preserve">Line item: </w:t>
            </w:r>
            <w:r>
              <w:rPr>
                <w:b/>
              </w:rPr>
              <w:t>instrument</w:t>
            </w:r>
            <w:r>
              <w:t xml:space="preserve"> (e.g. </w:t>
            </w:r>
            <w:r>
              <w:rPr>
                <w:i/>
              </w:rPr>
              <w:t>eCOA Text</w:t>
            </w:r>
            <w:r>
              <w:t xml:space="preserve">) · </w:t>
            </w:r>
            <w:r>
              <w:rPr>
                <w:b/>
              </w:rPr>
              <w:t>task code</w:t>
            </w:r>
            <w:r>
              <w:t xml:space="preserve"> (e.g. </w:t>
            </w:r>
            <w:r>
              <w:rPr>
                <w:i/>
              </w:rPr>
              <w:t>TRLV – Translation (LV)</w:t>
            </w:r>
            <w:r>
              <w:t xml:space="preserve">) · </w:t>
            </w:r>
            <w:r>
              <w:rPr>
                <w:b/>
              </w:rPr>
              <w:t>language pair</w:t>
            </w:r>
            <w:r>
              <w:t xml:space="preserve"> (e.g. </w:t>
            </w:r>
            <w:r>
              <w:rPr>
                <w:i/>
              </w:rPr>
              <w:t>English (United States)→Marathi (India)</w:t>
            </w:r>
            <w:r>
              <w:t xml:space="preserve">) · </w:t>
            </w:r>
            <w:r>
              <w:rPr>
                <w:b/>
              </w:rPr>
              <w:t>Total Authorized in US Dollars</w:t>
            </w:r>
          </w:p>
        </w:tc>
        <w:tc>
          <w:tcPr>
            <w:tcW w:type="dxa" w:w="4320"/>
          </w:tcPr>
          <w:p>
            <w:r>
              <w:t xml:space="preserve">the </w:t>
            </w:r>
            <w:r>
              <w:rPr>
                <w:b/>
              </w:rPr>
              <w:t>service + workflow</w:t>
            </w:r>
            <w:r>
              <w:t xml:space="preserve">, the </w:t>
            </w:r>
            <w:r>
              <w:rPr>
                <w:b/>
              </w:rPr>
              <w:t>languages</w:t>
            </w:r>
            <w:r>
              <w:t xml:space="preserve">, and the </w:t>
            </w:r>
            <w:r>
              <w:rPr>
                <w:b/>
              </w:rPr>
              <w:t>amount</w:t>
            </w:r>
          </w:p>
        </w:tc>
      </w:tr>
    </w:tbl>
    <w:p>
      <w:pPr>
        <w:ind w:left="360"/>
      </w:pPr>
      <w:r>
        <w:rPr>
          <w:i/>
          <w:color w:val="707070"/>
        </w:rPr>
        <w:t>[SCREENSHOT 2: a PO body with the six fields highlighted]</w:t>
      </w:r>
    </w:p>
    <w:p>
      <w:pPr>
        <w:pStyle w:val="Heading2"/>
      </w:pPr>
      <w:r>
        <w:t>5. Step 3 — Map the task code → service + workflow template</w:t>
      </w:r>
    </w:p>
    <w:p>
      <w:r>
        <w:t xml:space="preserve">The </w:t>
      </w:r>
      <w:r>
        <w:rPr>
          <w:b/>
        </w:rPr>
        <w:t>task code</w:t>
      </w:r>
      <w:r>
        <w:t xml:space="preserve"> (left of the dash in the grey row) drives the service and the workflow template: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RWS task 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Cethos service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Workflow template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QA basis (ISO 17100)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TRLV</w:t>
            </w:r>
            <w:r>
              <w:t xml:space="preserve"> – Translation (LV)</w:t>
            </w:r>
          </w:p>
        </w:tc>
        <w:tc>
          <w:tcPr>
            <w:tcW w:type="dxa" w:w="2160"/>
          </w:tcPr>
          <w:p>
            <w:r>
              <w:t>Standard Translation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translation_only</w:t>
            </w:r>
          </w:p>
        </w:tc>
        <w:tc>
          <w:tcPr>
            <w:tcW w:type="dxa" w:w="2160"/>
          </w:tcPr>
          <w:p>
            <w:r>
              <w:t>§5.3.3 revision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EDAD</w:t>
            </w:r>
            <w:r>
              <w:t xml:space="preserve"> – Adapt</w:t>
            </w:r>
          </w:p>
        </w:tc>
        <w:tc>
          <w:tcPr>
            <w:tcW w:type="dxa" w:w="2160"/>
          </w:tcPr>
          <w:p>
            <w:r>
              <w:t>Standard Translation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lv_adaptation</w:t>
            </w:r>
          </w:p>
        </w:tc>
        <w:tc>
          <w:tcPr>
            <w:tcW w:type="dxa" w:w="2160"/>
          </w:tcPr>
          <w:p>
            <w:r>
              <w:t>§5.3.3 revision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BTLV</w:t>
            </w:r>
            <w:r>
              <w:t xml:space="preserve"> – Back Translation</w:t>
            </w:r>
          </w:p>
        </w:tc>
        <w:tc>
          <w:tcPr>
            <w:tcW w:type="dxa" w:w="2160"/>
          </w:tcPr>
          <w:p>
            <w:r>
              <w:t>Back Translation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lv_back_translation</w:t>
            </w:r>
          </w:p>
        </w:tc>
        <w:tc>
          <w:tcPr>
            <w:tcW w:type="dxa" w:w="2160"/>
          </w:tcPr>
          <w:p>
            <w:r>
              <w:t>§5.3.3 revision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pPRF</w:t>
            </w:r>
            <w:r>
              <w:t xml:space="preserve"> – Paper Proofreading</w:t>
            </w:r>
          </w:p>
        </w:tc>
        <w:tc>
          <w:tcPr>
            <w:tcW w:type="dxa" w:w="2160"/>
          </w:tcPr>
          <w:p>
            <w:r>
              <w:t>Proofreading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lv_proofreading</w:t>
            </w:r>
          </w:p>
        </w:tc>
        <w:tc>
          <w:tcPr>
            <w:tcW w:type="dxa" w:w="2160"/>
          </w:tcPr>
          <w:p>
            <w:r>
              <w:t>§5.3.6 verification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ePRF</w:t>
            </w:r>
            <w:r>
              <w:t xml:space="preserve"> – eCOA Proofreading</w:t>
            </w:r>
          </w:p>
        </w:tc>
        <w:tc>
          <w:tcPr>
            <w:tcW w:type="dxa" w:w="2160"/>
          </w:tcPr>
          <w:p>
            <w:r>
              <w:t>Proofreading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lv_proofreading</w:t>
            </w:r>
          </w:p>
        </w:tc>
        <w:tc>
          <w:tcPr>
            <w:tcW w:type="dxa" w:w="2160"/>
          </w:tcPr>
          <w:p>
            <w:r>
              <w:t>§5.3.6 verification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HARM</w:t>
            </w:r>
            <w:r>
              <w:t xml:space="preserve"> – Harmonize</w:t>
            </w:r>
          </w:p>
        </w:tc>
        <w:tc>
          <w:tcPr>
            <w:tcW w:type="dxa" w:w="2160"/>
          </w:tcPr>
          <w:p>
            <w:r>
              <w:t>Harmonization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lv_harmonization</w:t>
            </w:r>
          </w:p>
        </w:tc>
        <w:tc>
          <w:tcPr>
            <w:tcW w:type="dxa" w:w="2160"/>
          </w:tcPr>
          <w:p>
            <w:r>
              <w:t>§5.3.6 verification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IIP</w:t>
            </w:r>
            <w:r>
              <w:t xml:space="preserve"> – Interview / </w:t>
            </w:r>
            <w:r>
              <w:rPr>
                <w:b/>
              </w:rPr>
              <w:t>RSub</w:t>
            </w:r>
            <w:r>
              <w:t xml:space="preserve"> – Recruit Participants</w:t>
            </w:r>
          </w:p>
        </w:tc>
        <w:tc>
          <w:tcPr>
            <w:tcW w:type="dxa" w:w="2160"/>
          </w:tcPr>
          <w:p>
            <w:r>
              <w:t>Cognitive Debriefing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lv_interview</w:t>
            </w:r>
          </w:p>
        </w:tc>
        <w:tc>
          <w:tcPr>
            <w:tcW w:type="dxa" w:w="2160"/>
          </w:tcPr>
          <w:p>
            <w:r>
              <w:t>§5.3.6 verification</w:t>
            </w:r>
          </w:p>
        </w:tc>
      </w:tr>
      <w:tr>
        <w:tc>
          <w:tcPr>
            <w:tcW w:type="dxa" w:w="2160"/>
          </w:tcPr>
          <w:p>
            <w:r>
              <w:t>Cognitive Debriefing</w:t>
            </w:r>
          </w:p>
        </w:tc>
        <w:tc>
          <w:tcPr>
            <w:tcW w:type="dxa" w:w="2160"/>
          </w:tcPr>
          <w:p>
            <w:r>
              <w:t>Cognitive Debriefing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cognitive_debriefing</w:t>
            </w:r>
          </w:p>
        </w:tc>
        <w:tc>
          <w:tcPr>
            <w:tcW w:type="dxa" w:w="2160"/>
          </w:tcPr>
          <w:p>
            <w:r>
              <w:t>§5.3.6 verification</w:t>
            </w:r>
          </w:p>
        </w:tc>
      </w:tr>
      <w:tr>
        <w:tc>
          <w:tcPr>
            <w:tcW w:type="dxa" w:w="2160"/>
          </w:tcPr>
          <w:p>
            <w:r>
              <w:t>Clinician Review</w:t>
            </w:r>
          </w:p>
        </w:tc>
        <w:tc>
          <w:tcPr>
            <w:tcW w:type="dxa" w:w="2160"/>
          </w:tcPr>
          <w:p>
            <w:r>
              <w:t>Clinician Review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clinician_review</w:t>
            </w:r>
          </w:p>
        </w:tc>
        <w:tc>
          <w:tcPr>
            <w:tcW w:type="dxa" w:w="2160"/>
          </w:tcPr>
          <w:p>
            <w:r>
              <w:t>§5.3.6 verification</w:t>
            </w:r>
          </w:p>
        </w:tc>
      </w:tr>
      <w:tr>
        <w:tc>
          <w:tcPr>
            <w:tcW w:type="dxa" w:w="2160"/>
          </w:tcPr>
          <w:p>
            <w:r>
              <w:t>(REC) Reconciliation</w:t>
            </w:r>
          </w:p>
        </w:tc>
        <w:tc>
          <w:tcPr>
            <w:tcW w:type="dxa" w:w="2160"/>
          </w:tcPr>
          <w:p>
            <w:r>
              <w:t>Reconciliation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lv_reconciliation</w:t>
            </w:r>
          </w:p>
        </w:tc>
        <w:tc>
          <w:tcPr>
            <w:tcW w:type="dxa" w:w="2160"/>
          </w:tcPr>
          <w:p>
            <w:r>
              <w:t>§5.3.6 verification</w:t>
            </w:r>
          </w:p>
        </w:tc>
      </w:tr>
      <w:tr>
        <w:tc>
          <w:tcPr>
            <w:tcW w:type="dxa" w:w="2160"/>
          </w:tcPr>
          <w:p>
            <w:r>
              <w:t>(BT review)</w:t>
            </w:r>
          </w:p>
        </w:tc>
        <w:tc>
          <w:tcPr>
            <w:tcW w:type="dxa" w:w="2160"/>
          </w:tcPr>
          <w:p>
            <w:r>
              <w:t>Translation Review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lv_bt_review</w:t>
            </w:r>
          </w:p>
        </w:tc>
        <w:tc>
          <w:tcPr>
            <w:tcW w:type="dxa" w:w="2160"/>
          </w:tcPr>
          <w:p>
            <w:r>
              <w:t>§5.3.6 verification</w:t>
            </w:r>
          </w:p>
        </w:tc>
      </w:tr>
      <w:tr>
        <w:tc>
          <w:tcPr>
            <w:tcW w:type="dxa" w:w="2160"/>
          </w:tcPr>
          <w:p>
            <w:r>
              <w:t>(Finalization / Certification)</w:t>
            </w:r>
          </w:p>
        </w:tc>
        <w:tc>
          <w:tcPr>
            <w:tcW w:type="dxa" w:w="2160"/>
          </w:tcPr>
          <w:p>
            <w:r>
              <w:t>Quality Management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lv_finalization</w:t>
            </w:r>
          </w:p>
        </w:tc>
        <w:tc>
          <w:tcPr>
            <w:tcW w:type="dxa" w:w="2160"/>
          </w:tcPr>
          <w:p>
            <w:r>
              <w:t>§5.3.6 verification</w:t>
            </w:r>
          </w:p>
        </w:tc>
      </w:tr>
    </w:tbl>
    <w:p>
      <w:pPr>
        <w:ind w:left="360"/>
      </w:pPr>
      <w:r>
        <w:rPr>
          <w:i/>
          <w:color w:val="707070"/>
        </w:rPr>
        <w:t xml:space="preserve">The LV-type suffix on the project code (EILV, NVLV, ABVLV, EUQLV, ZELV…) is an </w:t>
      </w:r>
      <w:r>
        <w:rPr>
          <w:b/>
          <w:i/>
          <w:color w:val="707070"/>
        </w:rPr>
        <w:t>RWS internal code, not a workflow</w:t>
      </w:r>
      <w:r>
        <w:rPr>
          <w:i/>
          <w:color w:val="707070"/>
        </w:rPr>
        <w:t xml:space="preserve"> — ignore it for template selection.</w:t>
      </w:r>
    </w:p>
    <w:p>
      <w:pPr>
        <w:pStyle w:val="Heading2"/>
      </w:pPr>
      <w:r>
        <w:t>6. Step 4 — Create the order (un-delivered shell)</w:t>
      </w:r>
    </w:p>
    <w:p>
      <w:r>
        <w:t xml:space="preserve">Create the order against the </w:t>
      </w:r>
      <w:r>
        <w:rPr>
          <w:b/>
        </w:rPr>
        <w:t>RWS USD, tax-exempt</w:t>
      </w:r>
      <w:r>
        <w:t xml:space="preserve"> customer with these settings:</w:t>
      </w:r>
    </w:p>
    <w:p>
      <w:pPr>
        <w:pStyle w:val="ListBullet"/>
      </w:pPr>
      <w:r>
        <w:rPr>
          <w:b/>
        </w:rPr>
        <w:t>Customer:</w:t>
      </w:r>
      <w:r>
        <w:t xml:space="preserve"> RWS Life Sciences (USD, tax-exempt, net-30). </w:t>
      </w:r>
      <w:r>
        <w:rPr>
          <w:i/>
        </w:rPr>
        <w:t>Do not send a customer order-confirmation email.</w:t>
      </w:r>
    </w:p>
    <w:p>
      <w:pPr>
        <w:pStyle w:val="ListBullet"/>
      </w:pPr>
      <w:r>
        <w:rPr>
          <w:b/>
        </w:rPr>
        <w:t>Service:</w:t>
      </w:r>
      <w:r>
        <w:t xml:space="preserve"> per the map (Step 3).</w:t>
      </w:r>
    </w:p>
    <w:p>
      <w:pPr>
        <w:pStyle w:val="ListBullet"/>
      </w:pPr>
      <w:r>
        <w:rPr>
          <w:b/>
        </w:rPr>
        <w:t>Workflow template:</w:t>
      </w:r>
      <w:r>
        <w:t xml:space="preserve"> the LV template per the map — this gives the three nodes </w:t>
      </w:r>
      <w:r>
        <w:rPr>
          <w:b/>
        </w:rPr>
        <w:t>`&lt;step&gt; → QA Review → Final Deliverable`</w:t>
      </w:r>
      <w:r>
        <w:t>.</w:t>
      </w:r>
    </w:p>
    <w:p>
      <w:pPr>
        <w:pStyle w:val="ListBullet"/>
      </w:pPr>
      <w:r>
        <w:rPr>
          <w:b/>
        </w:rPr>
        <w:t>Source / Target languages:</w:t>
      </w:r>
      <w:r>
        <w:t xml:space="preserve"> the PO's language pair (e.g. English (US) → Marathi (India)). If a regional variant isn't in the list yet, raise it with the system admin to add (e.g. Tamil (India)).</w:t>
      </w:r>
    </w:p>
    <w:p>
      <w:pPr>
        <w:pStyle w:val="ListBullet"/>
      </w:pPr>
      <w:r>
        <w:rPr>
          <w:b/>
        </w:rPr>
        <w:t>PO number / Client project number / Amount (= Total Authorized) / Client PM (= Assigned By).</w:t>
      </w:r>
    </w:p>
    <w:p>
      <w:pPr>
        <w:pStyle w:val="ListBullet"/>
      </w:pPr>
      <w:r>
        <w:rPr>
          <w:b/>
        </w:rPr>
        <w:t>Status:</w:t>
      </w:r>
      <w:r>
        <w:t xml:space="preserve"> </w:t>
      </w:r>
      <w:r>
        <w:rPr>
          <w:b/>
        </w:rPr>
        <w:t>In Production</w:t>
      </w:r>
      <w:r>
        <w:t xml:space="preserve">, work status </w:t>
      </w:r>
      <w:r>
        <w:rPr>
          <w:b/>
        </w:rPr>
        <w:t>Pending</w:t>
      </w:r>
      <w:r>
        <w:t xml:space="preserve"> — an un-delivered shell. (No deliverable yet; do not mark delivered.)</w:t>
      </w:r>
    </w:p>
    <w:p>
      <w:pPr>
        <w:ind w:left="360"/>
      </w:pPr>
      <w:r>
        <w:rPr>
          <w:i/>
          <w:color w:val="707070"/>
        </w:rPr>
        <w:t>[SCREENSHOT 3: create-order form with customer=RWS, service, and workflow template selected]</w:t>
      </w:r>
    </w:p>
    <w:p>
      <w:pPr>
        <w:ind w:left="360"/>
      </w:pPr>
      <w:r>
        <w:rPr>
          <w:i/>
          <w:color w:val="707070"/>
        </w:rPr>
        <w:t>[SCREENSHOT 4: language pair, PO#, project number, amount, and PM fields filled]</w:t>
      </w:r>
    </w:p>
    <w:p>
      <w:pPr>
        <w:pStyle w:val="Heading2"/>
      </w:pPr>
      <w:r>
        <w:t>7. Step 5 — Pre-production record (§4.4)</w:t>
      </w:r>
    </w:p>
    <w:p>
      <w:r>
        <w:t xml:space="preserve">On the new order, add a </w:t>
      </w:r>
      <w:r>
        <w:rPr>
          <w:b/>
        </w:rPr>
        <w:t>staff note</w:t>
      </w:r>
      <w:r>
        <w:t xml:space="preserve"> capturing the client–TSP agreement (ISO 17100 §4.x): client (RWS) + PO#, project, study, service, source/target, amount, and that </w:t>
      </w:r>
      <w:r>
        <w:rPr>
          <w:b/>
        </w:rPr>
        <w:t>independent QA</w:t>
      </w:r>
      <w:r>
        <w:t xml:space="preserve"> will occur before release. This is the pre-production audit record.</w:t>
      </w:r>
    </w:p>
    <w:p>
      <w:pPr>
        <w:ind w:left="360"/>
      </w:pPr>
      <w:r>
        <w:rPr>
          <w:i/>
          <w:color w:val="707070"/>
        </w:rPr>
        <w:t>[SCREENSHOT 5: the pre-production staff note on the order]</w:t>
      </w:r>
    </w:p>
    <w:p>
      <w:pPr>
        <w:pStyle w:val="Heading2"/>
      </w:pPr>
      <w:r>
        <w:t>8. Step 6 — Assign the qualified vendor (when work starts)</w:t>
      </w:r>
    </w:p>
    <w:p>
      <w:r>
        <w:t xml:space="preserve">On the </w:t>
      </w:r>
      <w:r>
        <w:rPr>
          <w:b/>
        </w:rPr>
        <w:t>production step</w:t>
      </w:r>
      <w:r>
        <w:t xml:space="preserve"> (step 1), use </w:t>
      </w:r>
      <w:r>
        <w:rPr>
          <w:b/>
        </w:rPr>
        <w:t>Find Vendor</w:t>
      </w:r>
      <w:r>
        <w:t xml:space="preserve"> and assign a linguist who is </w:t>
      </w:r>
      <w:r>
        <w:rPr>
          <w:b/>
        </w:rPr>
        <w:t>ISO-qualified for that language pair and role</w:t>
      </w:r>
      <w:r>
        <w:t xml:space="preserve"> in the QMS roster. </w:t>
      </w:r>
      <w:r>
        <w:rPr>
          <w:b/>
        </w:rPr>
        <w:t>Never assign an unqualified linguist</w:t>
      </w:r>
      <w:r>
        <w:t xml:space="preserve"> — the eligibility gate enforces this; do not override it.</w:t>
      </w:r>
    </w:p>
    <w:p>
      <w:pPr>
        <w:ind w:left="360"/>
      </w:pPr>
      <w:r>
        <w:rPr>
          <w:i/>
          <w:color w:val="707070"/>
        </w:rPr>
        <w:t>[SCREENSHOT 6: Find Vendor on the production step]</w:t>
      </w:r>
    </w:p>
    <w:p>
      <w:pPr>
        <w:pStyle w:val="Heading2"/>
      </w:pPr>
      <w:r>
        <w:t>9. Step 7 — Production + independent QA</w:t>
      </w:r>
    </w:p>
    <w:p>
      <w:r>
        <w:t xml:space="preserve">The vendor produces the step and uploads the deliverable. Then the </w:t>
      </w:r>
      <w:r>
        <w:rPr>
          <w:b/>
        </w:rPr>
        <w:t>QA Review</w:t>
      </w:r>
      <w:r>
        <w:t xml:space="preserve"> node (step 2) is performed by an </w:t>
      </w:r>
      <w:r>
        <w:rPr>
          <w:b/>
        </w:rPr>
        <w:t>independent second person</w:t>
      </w:r>
      <w:r>
        <w:t xml:space="preserve"> (default </w:t>
      </w:r>
      <w:r>
        <w:rPr>
          <w:b/>
        </w:rPr>
        <w:t>Bobby Rawat</w:t>
      </w:r>
      <w:r>
        <w:t xml:space="preserve">) — </w:t>
      </w:r>
      <w:r>
        <w:rPr>
          <w:b/>
        </w:rPr>
        <w:t>a different person than the producer</w:t>
      </w:r>
      <w:r>
        <w:t>:</w:t>
      </w:r>
    </w:p>
    <w:p>
      <w:pPr>
        <w:pStyle w:val="ListBullet"/>
      </w:pPr>
      <w:r>
        <w:rPr>
          <w:b/>
        </w:rPr>
        <w:t>Translation / adaptation / back-translation</w:t>
      </w:r>
      <w:r>
        <w:t xml:space="preserve"> → a </w:t>
      </w:r>
      <w:r>
        <w:rPr>
          <w:b/>
        </w:rPr>
        <w:t>§5.3.3 bilingual revision</w:t>
      </w:r>
      <w:r>
        <w:t xml:space="preserve"> by a second qualified linguist.</w:t>
      </w:r>
    </w:p>
    <w:p>
      <w:pPr>
        <w:pStyle w:val="ListBullet"/>
      </w:pPr>
      <w:r>
        <w:rPr>
          <w:b/>
        </w:rPr>
        <w:t>All validation / review steps</w:t>
      </w:r>
      <w:r>
        <w:t xml:space="preserve"> (reconciliation, BT review, harmonization, proofreading, interview, clinician review, finalization) → </w:t>
      </w:r>
      <w:r>
        <w:rPr>
          <w:b/>
        </w:rPr>
        <w:t>§5.3.6 verification &amp; release</w:t>
      </w:r>
      <w:r>
        <w:t>.</w:t>
      </w:r>
    </w:p>
    <w:p>
      <w:pPr>
        <w:ind w:left="360"/>
      </w:pPr>
      <w:r>
        <w:rPr>
          <w:i/>
          <w:color w:val="707070"/>
        </w:rPr>
        <w:t>[SCREENSHOT 7: the three workflow steps showing QA Review assigned to the internal reviewer]</w:t>
      </w:r>
    </w:p>
    <w:p>
      <w:pPr>
        <w:pStyle w:val="Heading2"/>
      </w:pPr>
      <w:r>
        <w:t>10. Step 8 — Deliver + complete</w:t>
      </w:r>
    </w:p>
    <w:p>
      <w:r>
        <w:t xml:space="preserve">On QA approval, upload the released version to the </w:t>
      </w:r>
      <w:r>
        <w:rPr>
          <w:b/>
        </w:rPr>
        <w:t>Final Deliverable</w:t>
      </w:r>
      <w:r>
        <w:t xml:space="preserve"> node, deliver to the client, and complete the order. Files live in the portal-managed Dropbox folder, auto-created per order:</w:t>
      </w:r>
    </w:p>
    <w:p>
      <w:r>
        <w:rPr>
          <w:rFonts w:ascii="Consolas" w:hAnsi="Consolas"/>
          <w:sz w:val="18"/>
        </w:rPr>
        <w:t>Cethos/Projects/RWS/&lt;PRJ-2026-NNNNN&gt; — RWS/&lt;ORD-2026-NNNNN&gt; — &lt;Target Language&gt; — &lt;date&gt;</w:t>
      </w:r>
    </w:p>
    <w:p>
      <w:r>
        <w:t xml:space="preserve">Use </w:t>
      </w:r>
      <w:r>
        <w:rPr>
          <w:b/>
        </w:rPr>
        <w:t>"Re-sync folders and source files to Dropbox"</w:t>
      </w:r>
      <w:r>
        <w:t xml:space="preserve"> on the order if the folder needs refreshing. Records (order, workflow, QA, deliverables) are retained </w:t>
      </w:r>
      <w:r>
        <w:rPr>
          <w:b/>
        </w:rPr>
        <w:t>≥ 5 years</w:t>
      </w:r>
      <w:r>
        <w:t xml:space="preserve"> (ISO 17100 §6.2).</w:t>
      </w:r>
    </w:p>
    <w:p>
      <w:pPr>
        <w:ind w:left="360"/>
      </w:pPr>
      <w:r>
        <w:rPr>
          <w:i/>
          <w:color w:val="707070"/>
        </w:rPr>
        <w:t>[SCREENSHOT 8: completed order showing the auto-created Dropbox folder link]</w:t>
      </w:r>
    </w:p>
    <w:p>
      <w:pPr>
        <w:pStyle w:val="Heading2"/>
      </w:pPr>
      <w:r>
        <w:t>11. Review rounds &amp; client feedback</w:t>
      </w:r>
    </w:p>
    <w:p>
      <w:r>
        <w:t xml:space="preserve">RWS work is iterative — developer feedback, clinician feedback, and query rounds are normal. Three mechanisms, </w:t>
      </w:r>
      <w:r>
        <w:rPr>
          <w:b/>
        </w:rPr>
        <w:t>all built into the portal</w:t>
      </w:r>
      <w:r>
        <w:t>:</w:t>
      </w:r>
    </w:p>
    <w:p>
      <w:pPr>
        <w:pStyle w:val="ListNumber"/>
      </w:pPr>
      <w:r>
        <w:rPr>
          <w:b/>
        </w:rPr>
        <w:t>Client feedback → the order's "Client Communications" tab.</w:t>
      </w:r>
      <w:r>
        <w:t xml:space="preserve"> It is an </w:t>
      </w:r>
      <w:r>
        <w:rPr>
          <w:b/>
        </w:rPr>
        <w:t>append-only log</w:t>
      </w:r>
      <w:r>
        <w:t xml:space="preserve">: paste each RWS email (feedback, review comments, queries) as a client communication. This is the ISO 17100 §6.1 feedback record, and the portal can </w:t>
      </w:r>
      <w:r>
        <w:rPr>
          <w:b/>
        </w:rPr>
        <w:t>auto-generate the vendor's job instructions</w:t>
      </w:r>
      <w:r>
        <w:t xml:space="preserve"> from it. Entries are never deleted — append-only by design.</w:t>
      </w:r>
    </w:p>
    <w:p>
      <w:pPr>
        <w:pStyle w:val="ListNumber"/>
      </w:pPr>
      <w:r>
        <w:rPr>
          <w:b/>
        </w:rPr>
        <w:t>In-order revisions → the Workflow.</w:t>
      </w:r>
      <w:r>
        <w:t xml:space="preserve"> When a deliverable comes back for changes, upload a </w:t>
      </w:r>
      <w:r>
        <w:rPr>
          <w:b/>
        </w:rPr>
        <w:t>new version</w:t>
      </w:r>
      <w:r>
        <w:t xml:space="preserve"> on its step; the QA reviewer re-checks it. Use </w:t>
      </w:r>
      <w:r>
        <w:rPr>
          <w:b/>
        </w:rPr>
        <w:t>"+ Add Step"</w:t>
      </w:r>
      <w:r>
        <w:t xml:space="preserve"> to add an extra review pass within the same order.</w:t>
      </w:r>
    </w:p>
    <w:p>
      <w:pPr>
        <w:pStyle w:val="ListNumber"/>
      </w:pPr>
      <w:r>
        <w:rPr>
          <w:b/>
        </w:rPr>
        <w:t>A separately-billed round → a new order.</w:t>
      </w:r>
      <w:r>
        <w:t xml:space="preserve"> When RWS issues a </w:t>
      </w:r>
      <w:r>
        <w:rPr>
          <w:i/>
        </w:rPr>
        <w:t>separate PO</w:t>
      </w:r>
      <w:r>
        <w:t xml:space="preserve"> for a review round (e.g. </w:t>
      </w:r>
      <w:r>
        <w:rPr>
          <w:b/>
        </w:rPr>
        <w:t>DEVRF</w:t>
      </w:r>
      <w:r>
        <w:t xml:space="preserve"> Developer Feedback Review, </w:t>
      </w:r>
      <w:r>
        <w:rPr>
          <w:b/>
        </w:rPr>
        <w:t>CLNFBR</w:t>
      </w:r>
      <w:r>
        <w:t xml:space="preserve"> Clinician Feedback Review), create a </w:t>
      </w:r>
      <w:r>
        <w:rPr>
          <w:b/>
        </w:rPr>
        <w:t>new order</w:t>
      </w:r>
      <w:r>
        <w:t xml:space="preserve"> on the matching review template, following Section 6. Each billable round is its own order.</w:t>
      </w:r>
    </w:p>
    <w:p>
      <w:pPr>
        <w:ind w:left="360"/>
      </w:pPr>
      <w:r>
        <w:rPr>
          <w:i/>
          <w:color w:val="707070"/>
        </w:rPr>
        <w:t>[SCREENSHOT 9: the order's Client Communications tab — the append-only "Client communications" log with "Add client email," feeding AI-generated vendor instructions]</w:t>
      </w:r>
    </w:p>
    <w:p>
      <w:pPr>
        <w:pStyle w:val="Heading2"/>
      </w:pPr>
      <w:r>
        <w:t>12. Audit-critical DON'Ts</w:t>
      </w:r>
    </w:p>
    <w:p>
      <w:pPr>
        <w:pStyle w:val="ListBullet"/>
      </w:pPr>
      <w:r>
        <w:t xml:space="preserve">✗ Never write </w:t>
      </w:r>
      <w:r>
        <w:rPr>
          <w:b/>
        </w:rPr>
        <w:t>"cloned from"</w:t>
      </w:r>
      <w:r>
        <w:t xml:space="preserve"> or reference another order/applicant on a record (IQVIA-sensitive).</w:t>
      </w:r>
    </w:p>
    <w:p>
      <w:pPr>
        <w:pStyle w:val="ListBullet"/>
      </w:pPr>
      <w:r>
        <w:t xml:space="preserve">✗ Never claim ISO 17100 </w:t>
      </w:r>
      <w:r>
        <w:rPr>
          <w:b/>
        </w:rPr>
        <w:t>certification</w:t>
      </w:r>
      <w:r>
        <w:t xml:space="preserve"> — Cethos is </w:t>
      </w:r>
      <w:r>
        <w:rPr>
          <w:b/>
        </w:rPr>
        <w:t>aligned</w:t>
      </w:r>
      <w:r>
        <w:t>, working toward Stage 2.</w:t>
      </w:r>
    </w:p>
    <w:p>
      <w:pPr>
        <w:pStyle w:val="ListBullet"/>
      </w:pPr>
      <w:r>
        <w:t xml:space="preserve">✗ Never label a validation/review step (proofreading, harmonization, etc.) an </w:t>
      </w:r>
      <w:r>
        <w:rPr>
          <w:b/>
        </w:rPr>
        <w:t>"ISO 17100 translation service."</w:t>
      </w:r>
    </w:p>
    <w:p>
      <w:pPr>
        <w:pStyle w:val="ListBullet"/>
      </w:pPr>
      <w:r>
        <w:t xml:space="preserve">✗ Never let the </w:t>
      </w:r>
      <w:r>
        <w:rPr>
          <w:b/>
        </w:rPr>
        <w:t>QA reviewer be the same person</w:t>
      </w:r>
      <w:r>
        <w:t xml:space="preserve"> as the producer.</w:t>
      </w:r>
    </w:p>
    <w:p>
      <w:pPr>
        <w:pStyle w:val="ListBullet"/>
      </w:pPr>
      <w:r>
        <w:t xml:space="preserve">✗ Never </w:t>
      </w:r>
      <w:r>
        <w:rPr>
          <w:b/>
        </w:rPr>
        <w:t>chain</w:t>
      </w:r>
      <w:r>
        <w:t xml:space="preserve"> the LV steps — each PO is its own independent single-step order.</w:t>
      </w:r>
    </w:p>
    <w:p>
      <w:pPr>
        <w:pStyle w:val="ListBullet"/>
      </w:pPr>
      <w:r>
        <w:t xml:space="preserve">✗ Never </w:t>
      </w:r>
      <w:r>
        <w:rPr>
          <w:b/>
        </w:rPr>
        <w:t>assign an unqualified linguist</w:t>
      </w:r>
      <w:r>
        <w:t xml:space="preserve"> or override the eligibility gate.</w:t>
      </w:r>
    </w:p>
    <w:p>
      <w:pPr>
        <w:pStyle w:val="Heading2"/>
      </w:pPr>
      <w:r>
        <w:t>12. Quick reference</w:t>
      </w:r>
    </w:p>
    <w:p>
      <w:pPr>
        <w:pStyle w:val="ListBullet"/>
      </w:pPr>
      <w:r>
        <w:rPr>
          <w:b/>
        </w:rPr>
        <w:t>RWS customer (USD, tax-exempt):</w:t>
      </w:r>
      <w:r>
        <w:t xml:space="preserve"> RWS Life Sciences, Inc.</w:t>
      </w:r>
    </w:p>
    <w:p>
      <w:pPr>
        <w:pStyle w:val="ListBullet"/>
      </w:pPr>
      <w:r>
        <w:rPr>
          <w:b/>
        </w:rPr>
        <w:t>Default QA reviewer:</w:t>
      </w:r>
      <w:r>
        <w:t xml:space="preserve"> Bobby Rawat (internal review).</w:t>
      </w:r>
    </w:p>
    <w:p>
      <w:pPr>
        <w:pStyle w:val="ListBullet"/>
      </w:pPr>
      <w:r>
        <w:rPr>
          <w:b/>
        </w:rPr>
        <w:t>Per-step recipes:</w:t>
      </w:r>
      <w:r>
        <w:t xml:space="preserve"> SOP-PR-003 Forward Translation · -004 Adaptation · -005 Reconciliation · -006 Back-translation · -007 BT Review · -008 Harmonization · -009 Proofreading · -010 Interview · -011 Finalization · SOP-PR-001 Cognitive Debriefing · SOP-PR-002 Clinician Review.</w:t>
      </w:r>
    </w:p>
    <w:p>
      <w:pPr>
        <w:pStyle w:val="ListBullet"/>
      </w:pPr>
      <w:r>
        <w:rPr>
          <w:b/>
        </w:rPr>
        <w:t>Framework:</w:t>
      </w:r>
      <w:r>
        <w:t xml:space="preserve"> SOP-LV-001 (the single-step + QA model, ISO conformance basis, shared procedures).</w:t>
      </w:r>
    </w:p>
    <w:p>
      <w:r>
        <w:rPr>
          <w:i/>
        </w:rPr>
        <w:t>— End of TRN-RWS-001 v0.1. Controlled .docx with embedded screenshots is stored under Staff Training in the portal Documents library (audience: staff).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