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TRN-RWS-001 — Onboarding an RWS Linguistic-Validation PO (staff training)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4320"/>
          </w:tcPr>
          <w:p>
            <w:r>
              <w:t>TRN-RWS-001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Onboarding an RWS Linguistic-Validation PO into the portal — staff training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4320"/>
          </w:tcPr>
          <w:p>
            <w:r>
              <w:t>Quality / Operations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4320"/>
          </w:tcPr>
          <w:p>
            <w:r>
              <w:t>Staff (LV operations / project management)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Draft v0.2 — 2026-06-26 *(updated for the team-Dropbox per-workflow folder structure + post-delivery revision rounds &amp; billing; screenshots embedded in the controlled .docx)*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Related</w:t>
            </w:r>
          </w:p>
        </w:tc>
        <w:tc>
          <w:tcPr>
            <w:tcW w:type="dxa" w:w="4320"/>
          </w:tcPr>
          <w:p>
            <w:r>
              <w:t>SOP-LV-001 (master LV SOP) · SOP-PR-003…011 (per-step SOPs) · the task→template map below</w:t>
            </w:r>
          </w:p>
        </w:tc>
      </w:tr>
    </w:tbl>
    <w:p/>
    <w:p>
      <w:pPr>
        <w:pStyle w:val="Heading1"/>
      </w:pPr>
      <w:r>
        <w:t>1. Purpose &amp; who this is for</w:t>
      </w:r>
    </w:p>
    <w:p>
      <w:r>
        <w:t xml:space="preserve">This guide trains </w:t>
      </w:r>
      <w:r>
        <w:rPr>
          <w:b/>
        </w:rPr>
        <w:t>Cethos LV operations and project-management staff</w:t>
      </w:r>
      <w:r>
        <w:t xml:space="preserve"> to onboard a </w:t>
      </w:r>
      <w:r>
        <w:rPr>
          <w:b/>
        </w:rPr>
        <w:t>single RWS Life Sciences purchase order (PO)</w:t>
      </w:r>
      <w:r>
        <w:t xml:space="preserve"> into the portal, correctly and repeatably, so the record is ISO 17100-defensible for audit. Read SOP-LV-001 first for the *why*; this guide is the *how, click by click*.</w:t>
      </w:r>
    </w:p>
    <w:p>
      <w:r>
        <w:rPr>
          <w:b/>
          <w:i/>
        </w:rPr>
        <w:t>One rule to remember:</w:t>
      </w:r>
      <w:r>
        <w:rPr>
          <w:i/>
        </w:rPr>
        <w:t xml:space="preserve"> </w:t>
      </w:r>
      <w:r>
        <w:rPr>
          <w:b/>
          <w:i/>
        </w:rPr>
        <w:t>1 RWS PO = 1 Cethos order = one LV step + one independent internal QA.</w:t>
      </w:r>
      <w:r>
        <w:rPr>
          <w:i/>
        </w:rPr>
        <w:t xml:space="preserve"> RWS manages the full validation cycle and buys *individual steps* from us. We never chain steps and never email RWS an order confirmation — they already sent the PO.</w:t>
      </w:r>
    </w:p>
    <w:p>
      <w:pPr>
        <w:pStyle w:val="Heading1"/>
      </w:pPr>
      <w:r>
        <w:t>2. The end-to-end flow</w:t>
      </w:r>
    </w:p>
    <w:p>
      <w:pPr>
        <w:shd w:val="clear" w:fill="F2F2F2"/>
      </w:pPr>
      <w:r>
        <w:rPr>
          <w:rFonts w:ascii="Consolas" w:hAnsi="Consolas"/>
          <w:sz w:val="18"/>
        </w:rPr>
        <w:t>PO arrives (lv@cethos.com)</w:t>
        <w:br/>
        <w:t xml:space="preserve">   └─► 1. Read the PO  →  2. Map task code → service + workflow template</w:t>
        <w:br/>
        <w:t xml:space="preserve">        └─► 3. Create the order (un-delivered shell)  →  4. Pre-production record (§4.4)</w:t>
        <w:br/>
        <w:t xml:space="preserve">             └─► 5. Assign the qualified vendor  →  6. Production + independent QA</w:t>
        <w:br/>
        <w:t xml:space="preserve">                  └─► 7. Deliver to client  →  8. Complete + archive</w:t>
      </w:r>
    </w:p>
    <w:p>
      <w:pPr>
        <w:pStyle w:val="Heading1"/>
      </w:pPr>
      <w:r>
        <w:t>3. Step 1 — A PO arrives</w:t>
      </w:r>
    </w:p>
    <w:p>
      <w:r>
        <w:t xml:space="preserve">RWS POs land in </w:t>
      </w:r>
      <w:r>
        <w:rPr>
          <w:b/>
        </w:rPr>
        <w:t>lv@cethos.com</w:t>
      </w:r>
      <w:r>
        <w:t xml:space="preserve">, auto-generated, subject </w:t>
      </w:r>
      <w:r>
        <w:rPr>
          <w:rFonts w:ascii="Consolas" w:hAnsi="Consolas"/>
          <w:sz w:val="19"/>
        </w:rPr>
        <w:t>RWS Life Sciences, Inc. PO: &lt;PO#&gt; for &lt;project&gt; Issued</w:t>
      </w:r>
      <w:r>
        <w:t xml:space="preserve">, sender = the assigning PM's </w:t>
      </w:r>
      <w:r>
        <w:rPr>
          <w:rFonts w:ascii="Consolas" w:hAnsi="Consolas"/>
          <w:sz w:val="19"/>
        </w:rPr>
        <w:t>@rws.com</w:t>
      </w:r>
      <w:r>
        <w:t xml:space="preserve"> address.</w:t>
      </w:r>
    </w:p>
    <w:p>
      <w:pPr>
        <w:shd w:val="clear" w:fill="FFF2CC"/>
      </w:pPr>
      <w:r>
        <w:rPr>
          <w:b/>
        </w:rPr>
        <w:t xml:space="preserve">[ SCREENSHOT 1 ]  </w:t>
      </w:r>
      <w:r>
        <w:t>the PO email in the lv@cethos.com inbox</w:t>
      </w:r>
      <w:r>
        <w:rPr>
          <w:i/>
          <w:sz w:val="17"/>
        </w:rPr>
        <w:t xml:space="preserve">    [capture pending]</w:t>
      </w:r>
    </w:p>
    <w:p>
      <w:pPr>
        <w:pStyle w:val="Heading1"/>
      </w:pPr>
      <w:r>
        <w:t>4. Step 2 — Read the PO</w:t>
      </w:r>
    </w:p>
    <w:p>
      <w:r>
        <w:t xml:space="preserve">Every PO body has a header block and a one-line-item rate table. Capture these </w:t>
      </w:r>
      <w:r>
        <w:rPr>
          <w:b/>
        </w:rPr>
        <w:t>six fields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>
              <w:rPr>
                <w:b/>
              </w:rPr>
              <w:t>Field in the PO</w:t>
            </w:r>
          </w:p>
        </w:tc>
        <w:tc>
          <w:tcPr>
            <w:tcW w:type="dxa" w:w="4320"/>
            <w:shd w:val="clear" w:fill="D9E2F3"/>
          </w:tcPr>
          <w:p>
            <w:r>
              <w:rPr>
                <w:b/>
              </w:rPr>
              <w:t>Use it for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Purchase Order: `&lt;PO#&gt;`</w:t>
            </w:r>
          </w:p>
        </w:tc>
        <w:tc>
          <w:tcPr>
            <w:tcW w:type="dxa" w:w="4320"/>
          </w:tcPr>
          <w:p>
            <w:r>
              <w:t>the order's PO number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Assigned By</w:t>
            </w:r>
          </w:p>
        </w:tc>
        <w:tc>
          <w:tcPr>
            <w:tcW w:type="dxa" w:w="4320"/>
          </w:tcPr>
          <w:p>
            <w:r>
              <w:t xml:space="preserve">the </w:t>
            </w:r>
            <w:r>
              <w:rPr>
                <w:b/>
              </w:rPr>
              <w:t>client PM</w:t>
            </w:r>
            <w:r>
              <w:t xml:space="preserve"> (create/select this person under the RWS company)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PO date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4320"/>
          </w:tcPr>
          <w:p>
            <w:r>
              <w:t>the study/protocol (record in the pre-production note)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Project Number</w:t>
            </w:r>
            <w:r>
              <w:t xml:space="preserve"> (e.g. </w:t>
            </w:r>
            <w:r>
              <w:rPr>
                <w:rFonts w:ascii="Consolas" w:hAnsi="Consolas"/>
                <w:sz w:val="19"/>
              </w:rPr>
              <w:t>251-E4006A-EILV</w:t>
            </w:r>
            <w:r>
              <w:t>)</w:t>
            </w:r>
          </w:p>
        </w:tc>
        <w:tc>
          <w:tcPr>
            <w:tcW w:type="dxa" w:w="4320"/>
          </w:tcPr>
          <w:p>
            <w:r>
              <w:t xml:space="preserve">the </w:t>
            </w:r>
            <w:r>
              <w:rPr>
                <w:b/>
              </w:rPr>
              <w:t>client project number</w:t>
            </w:r>
            <w:r>
              <w:t xml:space="preserve"> (internal project)</w:t>
            </w:r>
          </w:p>
        </w:tc>
      </w:tr>
      <w:tr>
        <w:tc>
          <w:tcPr>
            <w:tcW w:type="dxa" w:w="4320"/>
          </w:tcPr>
          <w:p>
            <w:r>
              <w:t xml:space="preserve">Line item: </w:t>
            </w:r>
            <w:r>
              <w:rPr>
                <w:b/>
              </w:rPr>
              <w:t>instrument</w:t>
            </w:r>
            <w:r>
              <w:t xml:space="preserve"> (e.g. *eCOA Text*) · </w:t>
            </w:r>
            <w:r>
              <w:rPr>
                <w:b/>
              </w:rPr>
              <w:t>task code</w:t>
            </w:r>
            <w:r>
              <w:t xml:space="preserve"> (e.g. *TRLV – Translation (LV)*) · </w:t>
            </w:r>
            <w:r>
              <w:rPr>
                <w:b/>
              </w:rPr>
              <w:t>language pair</w:t>
            </w:r>
            <w:r>
              <w:t xml:space="preserve"> (e.g. *English (United States)→Marathi (India)*) · </w:t>
            </w:r>
            <w:r>
              <w:rPr>
                <w:b/>
              </w:rPr>
              <w:t>Total Authorized in US Dollars</w:t>
            </w:r>
          </w:p>
        </w:tc>
        <w:tc>
          <w:tcPr>
            <w:tcW w:type="dxa" w:w="4320"/>
          </w:tcPr>
          <w:p>
            <w:r>
              <w:t xml:space="preserve">the </w:t>
            </w:r>
            <w:r>
              <w:rPr>
                <w:b/>
              </w:rPr>
              <w:t>service + workflow</w:t>
            </w:r>
            <w:r>
              <w:t xml:space="preserve">, the </w:t>
            </w:r>
            <w:r>
              <w:rPr>
                <w:b/>
              </w:rPr>
              <w:t>languages</w:t>
            </w:r>
            <w:r>
              <w:t xml:space="preserve">, and the </w:t>
            </w:r>
            <w:r>
              <w:rPr>
                <w:b/>
              </w:rPr>
              <w:t>amount</w:t>
            </w:r>
          </w:p>
        </w:tc>
      </w:tr>
    </w:tbl>
    <w:p/>
    <w:p>
      <w:pPr>
        <w:shd w:val="clear" w:fill="FFF2CC"/>
      </w:pPr>
      <w:r>
        <w:rPr>
          <w:b/>
        </w:rPr>
        <w:t xml:space="preserve">[ SCREENSHOT 2 ]  </w:t>
      </w:r>
      <w:r>
        <w:t>a PO body with the six fields highlighted</w:t>
      </w:r>
      <w:r>
        <w:rPr>
          <w:i/>
          <w:sz w:val="17"/>
        </w:rPr>
        <w:t xml:space="preserve">    [capture pending]</w:t>
      </w:r>
    </w:p>
    <w:p>
      <w:pPr>
        <w:pStyle w:val="Heading1"/>
      </w:pPr>
      <w:r>
        <w:t>5. Step 3 — Map the task code → service + workflow template</w:t>
      </w:r>
    </w:p>
    <w:p>
      <w:r>
        <w:t xml:space="preserve">The </w:t>
      </w:r>
      <w:r>
        <w:rPr>
          <w:b/>
        </w:rPr>
        <w:t>task code</w:t>
      </w:r>
      <w:r>
        <w:t xml:space="preserve"> (left of the dash in the grey row) drives the service and the workflow template: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2F3"/>
          </w:tcPr>
          <w:p>
            <w:r>
              <w:rPr>
                <w:b/>
              </w:rPr>
              <w:t>RWS task code</w:t>
            </w:r>
          </w:p>
        </w:tc>
        <w:tc>
          <w:tcPr>
            <w:tcW w:type="dxa" w:w="2160"/>
            <w:shd w:val="clear" w:fill="D9E2F3"/>
          </w:tcPr>
          <w:p>
            <w:r>
              <w:rPr>
                <w:b/>
              </w:rPr>
              <w:t>Cethos service</w:t>
            </w:r>
          </w:p>
        </w:tc>
        <w:tc>
          <w:tcPr>
            <w:tcW w:type="dxa" w:w="2160"/>
            <w:shd w:val="clear" w:fill="D9E2F3"/>
          </w:tcPr>
          <w:p>
            <w:r>
              <w:rPr>
                <w:b/>
              </w:rPr>
              <w:t>Workflow template</w:t>
            </w:r>
          </w:p>
        </w:tc>
        <w:tc>
          <w:tcPr>
            <w:tcW w:type="dxa" w:w="2160"/>
            <w:shd w:val="clear" w:fill="D9E2F3"/>
          </w:tcPr>
          <w:p>
            <w:r>
              <w:rPr>
                <w:b/>
              </w:rPr>
              <w:t>QA basis (ISO 17100)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TRLV</w:t>
            </w:r>
            <w:r>
              <w:t xml:space="preserve"> – Translation (LV)</w:t>
            </w:r>
          </w:p>
        </w:tc>
        <w:tc>
          <w:tcPr>
            <w:tcW w:type="dxa" w:w="2160"/>
          </w:tcPr>
          <w:p>
            <w:r>
              <w:t>Standard Translation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translation_only</w:t>
            </w:r>
          </w:p>
        </w:tc>
        <w:tc>
          <w:tcPr>
            <w:tcW w:type="dxa" w:w="2160"/>
          </w:tcPr>
          <w:p>
            <w:r>
              <w:t>§5.3.3 revision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EDAD</w:t>
            </w:r>
            <w:r>
              <w:t xml:space="preserve"> – Adapt</w:t>
            </w:r>
          </w:p>
        </w:tc>
        <w:tc>
          <w:tcPr>
            <w:tcW w:type="dxa" w:w="2160"/>
          </w:tcPr>
          <w:p>
            <w:r>
              <w:t>Standard Translation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lv_adaptation</w:t>
            </w:r>
          </w:p>
        </w:tc>
        <w:tc>
          <w:tcPr>
            <w:tcW w:type="dxa" w:w="2160"/>
          </w:tcPr>
          <w:p>
            <w:r>
              <w:t>§5.3.3 revision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BTLV</w:t>
            </w:r>
            <w:r>
              <w:t xml:space="preserve"> – Back Translation</w:t>
            </w:r>
          </w:p>
        </w:tc>
        <w:tc>
          <w:tcPr>
            <w:tcW w:type="dxa" w:w="2160"/>
          </w:tcPr>
          <w:p>
            <w:r>
              <w:t>Back Translation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lv_back_translation</w:t>
            </w:r>
          </w:p>
        </w:tc>
        <w:tc>
          <w:tcPr>
            <w:tcW w:type="dxa" w:w="2160"/>
          </w:tcPr>
          <w:p>
            <w:r>
              <w:t>§5.3.3 revision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pPRF</w:t>
            </w:r>
            <w:r>
              <w:t xml:space="preserve"> – Paper Proofreading</w:t>
            </w:r>
          </w:p>
        </w:tc>
        <w:tc>
          <w:tcPr>
            <w:tcW w:type="dxa" w:w="2160"/>
          </w:tcPr>
          <w:p>
            <w:r>
              <w:t>Proofreading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lv_proofreading</w:t>
            </w:r>
          </w:p>
        </w:tc>
        <w:tc>
          <w:tcPr>
            <w:tcW w:type="dxa" w:w="2160"/>
          </w:tcPr>
          <w:p>
            <w:r>
              <w:t>§5.3.6 verification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ePRF</w:t>
            </w:r>
            <w:r>
              <w:t xml:space="preserve"> – eCOA Proofreading</w:t>
            </w:r>
          </w:p>
        </w:tc>
        <w:tc>
          <w:tcPr>
            <w:tcW w:type="dxa" w:w="2160"/>
          </w:tcPr>
          <w:p>
            <w:r>
              <w:t>Proofreading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lv_proofreading</w:t>
            </w:r>
          </w:p>
        </w:tc>
        <w:tc>
          <w:tcPr>
            <w:tcW w:type="dxa" w:w="2160"/>
          </w:tcPr>
          <w:p>
            <w:r>
              <w:t>§5.3.6 verification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HARM</w:t>
            </w:r>
            <w:r>
              <w:t xml:space="preserve"> – Harmonize</w:t>
            </w:r>
          </w:p>
        </w:tc>
        <w:tc>
          <w:tcPr>
            <w:tcW w:type="dxa" w:w="2160"/>
          </w:tcPr>
          <w:p>
            <w:r>
              <w:t>Harmonization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lv_harmonization</w:t>
            </w:r>
          </w:p>
        </w:tc>
        <w:tc>
          <w:tcPr>
            <w:tcW w:type="dxa" w:w="2160"/>
          </w:tcPr>
          <w:p>
            <w:r>
              <w:t>§5.3.6 verification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IIP</w:t>
            </w:r>
            <w:r>
              <w:t xml:space="preserve"> – Interview / </w:t>
            </w:r>
            <w:r>
              <w:rPr>
                <w:b/>
              </w:rPr>
              <w:t>RSub</w:t>
            </w:r>
            <w:r>
              <w:t xml:space="preserve"> – Recruit Participants</w:t>
            </w:r>
          </w:p>
        </w:tc>
        <w:tc>
          <w:tcPr>
            <w:tcW w:type="dxa" w:w="2160"/>
          </w:tcPr>
          <w:p>
            <w:r>
              <w:t>Cognitive Debriefing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lv_interview</w:t>
            </w:r>
          </w:p>
        </w:tc>
        <w:tc>
          <w:tcPr>
            <w:tcW w:type="dxa" w:w="2160"/>
          </w:tcPr>
          <w:p>
            <w:r>
              <w:t>§5.3.6 verification</w:t>
            </w:r>
          </w:p>
        </w:tc>
      </w:tr>
      <w:tr>
        <w:tc>
          <w:tcPr>
            <w:tcW w:type="dxa" w:w="2160"/>
          </w:tcPr>
          <w:p>
            <w:r>
              <w:t>Cognitive Debriefing</w:t>
            </w:r>
          </w:p>
        </w:tc>
        <w:tc>
          <w:tcPr>
            <w:tcW w:type="dxa" w:w="2160"/>
          </w:tcPr>
          <w:p>
            <w:r>
              <w:t>Cognitive Debriefing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cognitive_debriefing</w:t>
            </w:r>
          </w:p>
        </w:tc>
        <w:tc>
          <w:tcPr>
            <w:tcW w:type="dxa" w:w="2160"/>
          </w:tcPr>
          <w:p>
            <w:r>
              <w:t>§5.3.6 verification</w:t>
            </w:r>
          </w:p>
        </w:tc>
      </w:tr>
      <w:tr>
        <w:tc>
          <w:tcPr>
            <w:tcW w:type="dxa" w:w="2160"/>
          </w:tcPr>
          <w:p>
            <w:r>
              <w:t>Clinician Review</w:t>
            </w:r>
          </w:p>
        </w:tc>
        <w:tc>
          <w:tcPr>
            <w:tcW w:type="dxa" w:w="2160"/>
          </w:tcPr>
          <w:p>
            <w:r>
              <w:t>Clinician Review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clinician_review</w:t>
            </w:r>
          </w:p>
        </w:tc>
        <w:tc>
          <w:tcPr>
            <w:tcW w:type="dxa" w:w="2160"/>
          </w:tcPr>
          <w:p>
            <w:r>
              <w:t>§5.3.6 verification</w:t>
            </w:r>
          </w:p>
        </w:tc>
      </w:tr>
      <w:tr>
        <w:tc>
          <w:tcPr>
            <w:tcW w:type="dxa" w:w="2160"/>
          </w:tcPr>
          <w:p>
            <w:r>
              <w:t>(REC) Reconciliation</w:t>
            </w:r>
          </w:p>
        </w:tc>
        <w:tc>
          <w:tcPr>
            <w:tcW w:type="dxa" w:w="2160"/>
          </w:tcPr>
          <w:p>
            <w:r>
              <w:t>Reconciliation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lv_reconciliation</w:t>
            </w:r>
          </w:p>
        </w:tc>
        <w:tc>
          <w:tcPr>
            <w:tcW w:type="dxa" w:w="2160"/>
          </w:tcPr>
          <w:p>
            <w:r>
              <w:t>§5.3.6 verification</w:t>
            </w:r>
          </w:p>
        </w:tc>
      </w:tr>
      <w:tr>
        <w:tc>
          <w:tcPr>
            <w:tcW w:type="dxa" w:w="2160"/>
          </w:tcPr>
          <w:p>
            <w:r>
              <w:t>(BT review)</w:t>
            </w:r>
          </w:p>
        </w:tc>
        <w:tc>
          <w:tcPr>
            <w:tcW w:type="dxa" w:w="2160"/>
          </w:tcPr>
          <w:p>
            <w:r>
              <w:t>Translation Review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lv_bt_review</w:t>
            </w:r>
          </w:p>
        </w:tc>
        <w:tc>
          <w:tcPr>
            <w:tcW w:type="dxa" w:w="2160"/>
          </w:tcPr>
          <w:p>
            <w:r>
              <w:t>§5.3.6 verification</w:t>
            </w:r>
          </w:p>
        </w:tc>
      </w:tr>
      <w:tr>
        <w:tc>
          <w:tcPr>
            <w:tcW w:type="dxa" w:w="2160"/>
          </w:tcPr>
          <w:p>
            <w:r>
              <w:t>(Finalization / Certification)</w:t>
            </w:r>
          </w:p>
        </w:tc>
        <w:tc>
          <w:tcPr>
            <w:tcW w:type="dxa" w:w="2160"/>
          </w:tcPr>
          <w:p>
            <w:r>
              <w:t>Quality Management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lv_finalization</w:t>
            </w:r>
          </w:p>
        </w:tc>
        <w:tc>
          <w:tcPr>
            <w:tcW w:type="dxa" w:w="2160"/>
          </w:tcPr>
          <w:p>
            <w:r>
              <w:t>§5.3.6 verification</w:t>
            </w:r>
          </w:p>
        </w:tc>
      </w:tr>
    </w:tbl>
    <w:p/>
    <w:p>
      <w:r>
        <w:rPr>
          <w:i/>
        </w:rPr>
        <w:t xml:space="preserve">The LV-type suffix on the project code (EILV, NVLV, ABVLV, EUQLV, ZELV…) is an </w:t>
      </w:r>
      <w:r>
        <w:rPr>
          <w:b/>
          <w:i/>
        </w:rPr>
        <w:t>RWS internal code, not a workflow</w:t>
      </w:r>
      <w:r>
        <w:rPr>
          <w:i/>
        </w:rPr>
        <w:t xml:space="preserve"> — ignore it for template selection.</w:t>
      </w:r>
    </w:p>
    <w:p>
      <w:pPr>
        <w:pStyle w:val="Heading1"/>
      </w:pPr>
      <w:r>
        <w:t>6. Step 4 — Create the order (un-delivered shell)</w:t>
      </w:r>
    </w:p>
    <w:p>
      <w:r>
        <w:t xml:space="preserve">Create the order against the </w:t>
      </w:r>
      <w:r>
        <w:rPr>
          <w:b/>
        </w:rPr>
        <w:t>RWS USD, tax-exempt</w:t>
      </w:r>
      <w:r>
        <w:t xml:space="preserve"> customer with these settings:</w:t>
      </w:r>
    </w:p>
    <w:p>
      <w:pPr>
        <w:pStyle w:val="ListBullet"/>
      </w:pPr>
      <w:r>
        <w:rPr>
          <w:b/>
        </w:rPr>
        <w:t>Customer:</w:t>
      </w:r>
      <w:r>
        <w:t xml:space="preserve"> RWS Life Sciences (USD, tax-exempt, net-30). *Do not send a customer order-confirmation email.*</w:t>
      </w:r>
    </w:p>
    <w:p>
      <w:pPr>
        <w:pStyle w:val="ListBullet"/>
      </w:pPr>
      <w:r>
        <w:rPr>
          <w:b/>
        </w:rPr>
        <w:t>Service:</w:t>
      </w:r>
      <w:r>
        <w:t xml:space="preserve"> per the map (Step 3).</w:t>
      </w:r>
    </w:p>
    <w:p>
      <w:pPr>
        <w:pStyle w:val="ListBullet"/>
      </w:pPr>
      <w:r>
        <w:rPr>
          <w:b/>
        </w:rPr>
        <w:t>Workflow template:</w:t>
      </w:r>
      <w:r>
        <w:t xml:space="preserve"> the LV template per the map — this gives the three nodes </w:t>
      </w:r>
      <w:r>
        <w:rPr>
          <w:b/>
        </w:rPr>
        <w:t>`&lt;step&gt; → QA Review → Final Deliverable`</w:t>
      </w:r>
      <w:r>
        <w:t>.</w:t>
      </w:r>
    </w:p>
    <w:p>
      <w:pPr>
        <w:pStyle w:val="ListBullet"/>
      </w:pPr>
      <w:r>
        <w:rPr>
          <w:b/>
        </w:rPr>
        <w:t>Source / Target languages:</w:t>
      </w:r>
      <w:r>
        <w:t xml:space="preserve"> the PO's language pair (e.g. English (US) → Marathi (India)). If a regional variant isn't in the list yet, raise it with the system admin to add (e.g. Tamil (India)).</w:t>
      </w:r>
    </w:p>
    <w:p>
      <w:pPr>
        <w:pStyle w:val="ListBullet"/>
      </w:pPr>
      <w:r>
        <w:rPr>
          <w:b/>
        </w:rPr>
        <w:t>PO number / Client project number / Amount (= Total Authorized) / Client PM (= Assigned By).</w:t>
      </w:r>
    </w:p>
    <w:p>
      <w:pPr>
        <w:pStyle w:val="ListBullet"/>
      </w:pPr>
      <w:r>
        <w:rPr>
          <w:b/>
        </w:rPr>
        <w:t>Status:</w:t>
      </w:r>
      <w:r>
        <w:t xml:space="preserve"> </w:t>
      </w:r>
      <w:r>
        <w:rPr>
          <w:b/>
        </w:rPr>
        <w:t>In Production</w:t>
      </w:r>
      <w:r>
        <w:t xml:space="preserve">, work status </w:t>
      </w:r>
      <w:r>
        <w:rPr>
          <w:b/>
        </w:rPr>
        <w:t>Pending</w:t>
      </w:r>
      <w:r>
        <w:t xml:space="preserve"> — an un-delivered shell. (No deliverable yet; do not mark delivered.)</w:t>
      </w:r>
    </w:p>
    <w:p>
      <w:pPr>
        <w:shd w:val="clear" w:fill="FFF2CC"/>
      </w:pPr>
      <w:r>
        <w:rPr>
          <w:b/>
        </w:rPr>
        <w:t xml:space="preserve">[ SCREENSHOT 3 ]  </w:t>
      </w:r>
      <w:r>
        <w:t>create-order form with customer=RWS, service, and workflow template selected</w:t>
      </w:r>
      <w:r>
        <w:rPr>
          <w:i/>
          <w:sz w:val="17"/>
        </w:rPr>
        <w:t xml:space="preserve">    [capture pending]</w:t>
      </w:r>
    </w:p>
    <w:p>
      <w:pPr>
        <w:shd w:val="clear" w:fill="FFF2CC"/>
      </w:pPr>
      <w:r>
        <w:rPr>
          <w:b/>
        </w:rPr>
        <w:t xml:space="preserve">[ SCREENSHOT 4 ]  </w:t>
      </w:r>
      <w:r>
        <w:t>language pair, PO#, project number, amount, and PM fields filled</w:t>
      </w:r>
      <w:r>
        <w:rPr>
          <w:i/>
          <w:sz w:val="17"/>
        </w:rPr>
        <w:t xml:space="preserve">    [capture pending]</w:t>
      </w:r>
    </w:p>
    <w:p>
      <w:pPr>
        <w:pStyle w:val="Heading1"/>
      </w:pPr>
      <w:r>
        <w:t>7. Step 5 — Pre-production record (§4.4)</w:t>
      </w:r>
    </w:p>
    <w:p>
      <w:r>
        <w:t xml:space="preserve">On the new order, add a </w:t>
      </w:r>
      <w:r>
        <w:rPr>
          <w:b/>
        </w:rPr>
        <w:t>staff note</w:t>
      </w:r>
      <w:r>
        <w:t xml:space="preserve"> capturing the client–TSP agreement (ISO 17100 §4.x): client (RWS) + PO#, project, study, service, source/target, amount, and that </w:t>
      </w:r>
      <w:r>
        <w:rPr>
          <w:b/>
        </w:rPr>
        <w:t>independent QA</w:t>
      </w:r>
      <w:r>
        <w:t xml:space="preserve"> will occur before release. This is the pre-production audit record.</w:t>
      </w:r>
    </w:p>
    <w:p>
      <w:pPr>
        <w:shd w:val="clear" w:fill="FFF2CC"/>
      </w:pPr>
      <w:r>
        <w:rPr>
          <w:b/>
        </w:rPr>
        <w:t xml:space="preserve">[ SCREENSHOT 5 ]  </w:t>
      </w:r>
      <w:r>
        <w:t>the pre-production staff note on the order</w:t>
      </w:r>
      <w:r>
        <w:rPr>
          <w:i/>
          <w:sz w:val="17"/>
        </w:rPr>
        <w:t xml:space="preserve">    [capture pending]</w:t>
      </w:r>
    </w:p>
    <w:p>
      <w:pPr>
        <w:pStyle w:val="Heading1"/>
      </w:pPr>
      <w:r>
        <w:t>8. Step 6 — Assign the qualified vendor (when work starts)</w:t>
      </w:r>
    </w:p>
    <w:p>
      <w:r>
        <w:t xml:space="preserve">On the </w:t>
      </w:r>
      <w:r>
        <w:rPr>
          <w:b/>
        </w:rPr>
        <w:t>production step</w:t>
      </w:r>
      <w:r>
        <w:t xml:space="preserve"> (step 1), use </w:t>
      </w:r>
      <w:r>
        <w:rPr>
          <w:b/>
        </w:rPr>
        <w:t>Find Vendor</w:t>
      </w:r>
      <w:r>
        <w:t xml:space="preserve"> and assign a linguist who is </w:t>
      </w:r>
      <w:r>
        <w:rPr>
          <w:b/>
        </w:rPr>
        <w:t>ISO-qualified for that language pair and role</w:t>
      </w:r>
      <w:r>
        <w:t xml:space="preserve"> in the QMS roster. </w:t>
      </w:r>
      <w:r>
        <w:rPr>
          <w:b/>
        </w:rPr>
        <w:t>Never assign an unqualified linguist</w:t>
      </w:r>
      <w:r>
        <w:t xml:space="preserve"> — the eligibility gate enforces this; do not override it.</w:t>
      </w:r>
    </w:p>
    <w:p>
      <w:pPr>
        <w:shd w:val="clear" w:fill="FFF2CC"/>
      </w:pPr>
      <w:r>
        <w:rPr>
          <w:b/>
        </w:rPr>
        <w:t xml:space="preserve">[ SCREENSHOT 6 ]  </w:t>
      </w:r>
      <w:r>
        <w:t>Find Vendor on the production step</w:t>
      </w:r>
      <w:r>
        <w:rPr>
          <w:i/>
          <w:sz w:val="17"/>
        </w:rPr>
        <w:t xml:space="preserve">    [capture pending]</w:t>
      </w:r>
    </w:p>
    <w:p>
      <w:pPr>
        <w:pStyle w:val="Heading1"/>
      </w:pPr>
      <w:r>
        <w:t>9. Step 7 — Production + independent QA</w:t>
      </w:r>
    </w:p>
    <w:p>
      <w:r>
        <w:t xml:space="preserve">The vendor produces the step and uploads the deliverable. Then the </w:t>
      </w:r>
      <w:r>
        <w:rPr>
          <w:b/>
        </w:rPr>
        <w:t>QA Review</w:t>
      </w:r>
      <w:r>
        <w:t xml:space="preserve"> node (step 2) is performed by an </w:t>
      </w:r>
      <w:r>
        <w:rPr>
          <w:b/>
        </w:rPr>
        <w:t>independent second person</w:t>
      </w:r>
      <w:r>
        <w:t xml:space="preserve"> (default </w:t>
      </w:r>
      <w:r>
        <w:rPr>
          <w:b/>
        </w:rPr>
        <w:t>Bobby Rawat</w:t>
      </w:r>
      <w:r>
        <w:t xml:space="preserve">) — </w:t>
      </w:r>
      <w:r>
        <w:rPr>
          <w:b/>
        </w:rPr>
        <w:t>a different person than the producer</w:t>
      </w:r>
      <w:r>
        <w:t>:</w:t>
      </w:r>
    </w:p>
    <w:p>
      <w:pPr>
        <w:pStyle w:val="ListBullet"/>
      </w:pPr>
      <w:r>
        <w:rPr>
          <w:b/>
        </w:rPr>
        <w:t>Translation / adaptation / back-translation</w:t>
      </w:r>
      <w:r>
        <w:t xml:space="preserve"> → a </w:t>
      </w:r>
      <w:r>
        <w:rPr>
          <w:b/>
        </w:rPr>
        <w:t>§5.3.3 bilingual revision</w:t>
      </w:r>
      <w:r>
        <w:t xml:space="preserve"> by a second qualified linguist.</w:t>
      </w:r>
    </w:p>
    <w:p>
      <w:pPr>
        <w:pStyle w:val="ListBullet"/>
      </w:pPr>
      <w:r>
        <w:rPr>
          <w:b/>
        </w:rPr>
        <w:t>All validation / review steps</w:t>
      </w:r>
      <w:r>
        <w:t xml:space="preserve"> (reconciliation, BT review, harmonization, proofreading, interview, clinician review, finalization) → </w:t>
      </w:r>
      <w:r>
        <w:rPr>
          <w:b/>
        </w:rPr>
        <w:t>§5.3.6 verification &amp; release</w:t>
      </w:r>
      <w:r>
        <w:t>.</w:t>
      </w:r>
    </w:p>
    <w:p>
      <w:pPr>
        <w:shd w:val="clear" w:fill="FFF2CC"/>
      </w:pPr>
      <w:r>
        <w:rPr>
          <w:b/>
        </w:rPr>
        <w:t xml:space="preserve">[ SCREENSHOT 7 ]  </w:t>
      </w:r>
      <w:r>
        <w:t>the three workflow steps showing QA Review assigned to the internal reviewer</w:t>
      </w:r>
      <w:r>
        <w:rPr>
          <w:i/>
          <w:sz w:val="17"/>
        </w:rPr>
        <w:t xml:space="preserve">    [capture pending]</w:t>
      </w:r>
    </w:p>
    <w:p>
      <w:pPr>
        <w:pStyle w:val="Heading1"/>
      </w:pPr>
      <w:r>
        <w:t>10. Step 8 — Deliver + complete</w:t>
      </w:r>
    </w:p>
    <w:p>
      <w:r>
        <w:t xml:space="preserve">On QA approval, upload the released version to the </w:t>
      </w:r>
      <w:r>
        <w:rPr>
          <w:b/>
        </w:rPr>
        <w:t>Final Deliverable</w:t>
      </w:r>
      <w:r>
        <w:t xml:space="preserve"> node, deliver to the client, and complete the order. Files live in the </w:t>
      </w:r>
      <w:r>
        <w:rPr>
          <w:b/>
        </w:rPr>
        <w:t>Cethos team Dropbox</w:t>
      </w:r>
      <w:r>
        <w:t xml:space="preserve">, auto-organised per order into a </w:t>
      </w:r>
      <w:r>
        <w:rPr>
          <w:b/>
        </w:rPr>
        <w:t>per-workflow, per-step, versioned</w:t>
      </w:r>
      <w:r>
        <w:t xml:space="preserve"> structure:</w:t>
      </w:r>
    </w:p>
    <w:p>
      <w:pPr>
        <w:shd w:val="clear" w:fill="F2F2F2"/>
      </w:pPr>
      <w:r>
        <w:rPr>
          <w:rFonts w:ascii="Consolas" w:hAnsi="Consolas"/>
          <w:sz w:val="18"/>
        </w:rPr>
        <w:t>Cethos Team Folder/01_Clients/RWS/{PRJ-2026-NNNNN} - {client project code}/</w:t>
        <w:br/>
        <w:t>└── {ORD-2026-NNNNN} - {Service} - {src-tgt} - {date}/</w:t>
        <w:br/>
        <w:t xml:space="preserve">    ├── 00_Admin/                 PROJECT-RECORD.md (the audit record) + the order's invoice/PO PDFs</w:t>
        <w:br/>
        <w:t xml:space="preserve">    ├── 01_Source/v1/             the source files RWS sent</w:t>
        <w:br/>
        <w:t xml:space="preserve">    ├── 02_Reference/v1/          instructions / reference / working files</w:t>
        <w:br/>
        <w:t xml:space="preserve">    ├── 10_{Step}/v1/             the LV step's deliverable (10_Translation, 10_Adaptation, 10_Proofreading, 10_Harmonization, …)</w:t>
        <w:br/>
        <w:t xml:space="preserve">    ├── 20_QA-Review/v1/          the QA-approved copy</w:t>
        <w:br/>
        <w:t xml:space="preserve">    └── 30_Final-Deliverable/v1/  the released copy</w:t>
      </w:r>
    </w:p>
    <w:p>
      <w:pPr>
        <w:pStyle w:val="ListBullet"/>
      </w:pPr>
      <w:r>
        <w:rPr>
          <w:b/>
        </w:rPr>
        <w:t>Every workflow step is its own numbered folder</w:t>
      </w:r>
      <w:r>
        <w:t xml:space="preserve"> (</w:t>
      </w:r>
      <w:r>
        <w:rPr>
          <w:rFonts w:ascii="Consolas" w:hAnsi="Consolas"/>
          <w:sz w:val="19"/>
        </w:rPr>
        <w:t>10_</w:t>
      </w:r>
      <w:r>
        <w:t xml:space="preserve">, </w:t>
      </w:r>
      <w:r>
        <w:rPr>
          <w:rFonts w:ascii="Consolas" w:hAnsi="Consolas"/>
          <w:sz w:val="19"/>
        </w:rPr>
        <w:t>20_</w:t>
      </w:r>
      <w:r>
        <w:t xml:space="preserve">, </w:t>
      </w:r>
      <w:r>
        <w:rPr>
          <w:rFonts w:ascii="Consolas" w:hAnsi="Consolas"/>
          <w:sz w:val="19"/>
        </w:rPr>
        <w:t>30_</w:t>
      </w:r>
      <w:r>
        <w:t xml:space="preserve"> — step × 10), and </w:t>
      </w:r>
      <w:r>
        <w:rPr>
          <w:b/>
        </w:rPr>
        <w:t>every folder is versioned</w:t>
      </w:r>
      <w:r>
        <w:t xml:space="preserve"> (</w:t>
      </w:r>
      <w:r>
        <w:rPr>
          <w:rFonts w:ascii="Consolas" w:hAnsi="Consolas"/>
          <w:sz w:val="19"/>
        </w:rPr>
        <w:t>v1</w:t>
      </w:r>
      <w:r>
        <w:t xml:space="preserve">, </w:t>
      </w:r>
      <w:r>
        <w:rPr>
          <w:rFonts w:ascii="Consolas" w:hAnsi="Consolas"/>
          <w:sz w:val="19"/>
        </w:rPr>
        <w:t>v2</w:t>
      </w:r>
      <w:r>
        <w:t xml:space="preserve">, …). A revision round re-versions the affected step to </w:t>
      </w:r>
      <w:r>
        <w:rPr>
          <w:rFonts w:ascii="Consolas" w:hAnsi="Consolas"/>
          <w:sz w:val="19"/>
        </w:rPr>
        <w:t>v2</w:t>
      </w:r>
      <w:r>
        <w:t>/</w:t>
      </w:r>
      <w:r>
        <w:rPr>
          <w:rFonts w:ascii="Consolas" w:hAnsi="Consolas"/>
          <w:sz w:val="19"/>
        </w:rPr>
        <w:t>v3</w:t>
      </w:r>
      <w:r>
        <w:t xml:space="preserve">; </w:t>
      </w:r>
      <w:r>
        <w:rPr>
          <w:b/>
        </w:rPr>
        <w:t>`v1` is never overwritten</w:t>
      </w:r>
      <w:r>
        <w:t xml:space="preserve"> (see §11). Post-delivery client feedback adds a </w:t>
      </w:r>
      <w:r>
        <w:rPr>
          <w:b/>
        </w:rPr>
        <w:t>`05_Client-Review/round-N/`</w:t>
      </w:r>
      <w:r>
        <w:t xml:space="preserve"> folder.</w:t>
      </w:r>
    </w:p>
    <w:p>
      <w:pPr>
        <w:pStyle w:val="ListBullet"/>
      </w:pPr>
      <w:r>
        <w:t xml:space="preserve">Use </w:t>
      </w:r>
      <w:r>
        <w:rPr>
          <w:b/>
        </w:rPr>
        <w:t>"Sync"</w:t>
      </w:r>
      <w:r>
        <w:t xml:space="preserve"> (top of the order detail) to refresh the folder; </w:t>
      </w:r>
      <w:r>
        <w:rPr>
          <w:b/>
        </w:rPr>
        <w:t>"Open in Dropbox"</w:t>
      </w:r>
      <w:r>
        <w:t xml:space="preserve"> jumps to it. Records are retained </w:t>
      </w:r>
      <w:r>
        <w:rPr>
          <w:b/>
        </w:rPr>
        <w:t>≥ 5 years</w:t>
      </w:r>
      <w:r>
        <w:t xml:space="preserve"> (ISO 17100 §6.2).</w:t>
      </w:r>
    </w:p>
    <w:p>
      <w:pPr>
        <w:shd w:val="clear" w:fill="FFF2CC"/>
      </w:pPr>
      <w:r>
        <w:rPr>
          <w:b/>
        </w:rPr>
        <w:t xml:space="preserve">[ SCREENSHOT 8 ]  </w:t>
      </w:r>
      <w:r>
        <w:t>the order's team-Dropbox folder — breadcrumb "Cethos Team Folder ▸ 01_Clients ▸ RWS ▸ PRJ-2026-00031 - 261-A2229A-EILV ▸ ORD-2026-10227 …", listing 00_Admin / 01_Source / 02_Reference / 10_Translation / 20_QA-Review / 30_Final-Deliverable</w:t>
      </w:r>
      <w:r>
        <w:rPr>
          <w:i/>
          <w:sz w:val="17"/>
        </w:rPr>
        <w:t xml:space="preserve">    capture: ss_6810gzn1x — RWS order folder in team Dropbox (breadcrumb Cethos Team Folder/01_Clients/RWS/PRJ-2026-00031/ORD-2026-10227; folders 00_Admin/01_Source/02_Reference/10_Translation/20_QA-Review/30_Final-Deliverable)</w:t>
      </w:r>
    </w:p>
    <w:p>
      <w:pPr>
        <w:pStyle w:val="Heading1"/>
      </w:pPr>
      <w:r>
        <w:t>11. Review rounds, revisions &amp; post-delivery changes</w:t>
      </w:r>
    </w:p>
    <w:p>
      <w:r>
        <w:t xml:space="preserve">RWS work is iterative — developer/clinician feedback and query rounds are normal, and they often arrive </w:t>
      </w:r>
      <w:r>
        <w:rPr>
          <w:b/>
        </w:rPr>
        <w:t>after</w:t>
      </w:r>
      <w:r>
        <w:t xml:space="preserve"> we've delivered. Handle every one as a </w:t>
      </w:r>
      <w:r>
        <w:rPr>
          <w:b/>
        </w:rPr>
        <w:t>controlled revision round</w:t>
      </w:r>
      <w:r>
        <w:t xml:space="preserve">, never a silent re-send. (Full process + ISO basis: </w:t>
      </w:r>
      <w:r>
        <w:rPr>
          <w:b/>
        </w:rPr>
        <w:t>SOP-026 — Post-Delivery Client Review &amp; Revision Rounds</w:t>
      </w:r>
      <w:r>
        <w:t>.)</w:t>
      </w:r>
    </w:p>
    <w:p>
      <w:r>
        <w:rPr>
          <w:b/>
        </w:rPr>
        <w:t>a) Always log the client's return first (§6.1).</w:t>
      </w:r>
      <w:r>
        <w:t xml:space="preserve"> Paste each RWS email into the order's </w:t>
      </w:r>
      <w:r>
        <w:rPr>
          <w:b/>
        </w:rPr>
        <w:t>Client Communications</w:t>
      </w:r>
      <w:r>
        <w:t xml:space="preserve"> tab — </w:t>
      </w:r>
      <w:r>
        <w:rPr>
          <w:b/>
        </w:rPr>
        <w:t>append-only</w:t>
      </w:r>
      <w:r>
        <w:t xml:space="preserve">, </w:t>
      </w:r>
      <w:r>
        <w:rPr>
          <w:b/>
        </w:rPr>
        <w:t>back-date</w:t>
      </w:r>
      <w:r>
        <w:t xml:space="preserve"> it to RWS's send time, and </w:t>
      </w:r>
      <w:r>
        <w:rPr>
          <w:b/>
        </w:rPr>
        <w:t>attach their markup/feedback files</w:t>
      </w:r>
      <w:r>
        <w:t xml:space="preserve">. This is the ISO 17100 §6.1 record, and it is what </w:t>
      </w:r>
      <w:r>
        <w:rPr>
          <w:b/>
        </w:rPr>
        <w:t>populates the `05_Client-Review/round-N/`</w:t>
      </w:r>
      <w:r>
        <w:t xml:space="preserve"> folder (a </w:t>
      </w:r>
      <w:r>
        <w:rPr>
          <w:rFonts w:ascii="Consolas" w:hAnsi="Consolas"/>
          <w:sz w:val="19"/>
        </w:rPr>
        <w:t>feedback.md</w:t>
      </w:r>
      <w:r>
        <w:t xml:space="preserve"> of the request + the attachments). The portal can auto-generate the vendor brief from it.</w:t>
      </w:r>
    </w:p>
    <w:p>
      <w:pPr>
        <w:shd w:val="clear" w:fill="FFF2CC"/>
      </w:pPr>
      <w:r>
        <w:rPr>
          <w:b/>
        </w:rPr>
        <w:t xml:space="preserve">[ SCREENSHOT 9 ]  </w:t>
      </w:r>
      <w:r>
        <w:t>the order's Client Communications tab — append-only log, "Add client email," with attachments</w:t>
      </w:r>
      <w:r>
        <w:rPr>
          <w:i/>
          <w:sz w:val="17"/>
        </w:rPr>
        <w:t xml:space="preserve">    [capture pending]</w:t>
      </w:r>
    </w:p>
    <w:p>
      <w:r>
        <w:rPr>
          <w:b/>
        </w:rPr>
        <w:t>b) Run the revision as a new version.</w:t>
      </w:r>
      <w:r>
        <w:t xml:space="preserve"> Re-open the affected step (</w:t>
      </w:r>
      <w:r>
        <w:rPr>
          <w:b/>
        </w:rPr>
        <w:t>Request revision</w:t>
      </w:r>
      <w:r>
        <w:t xml:space="preserve">); the vendor delivers a </w:t>
      </w:r>
      <w:r>
        <w:rPr>
          <w:b/>
        </w:rPr>
        <w:t>new version</w:t>
      </w:r>
      <w:r>
        <w:t xml:space="preserve">; QA re-checks it; re-issue the Final Deliverable. The folders update themselves — the revised artifact lands in </w:t>
      </w:r>
      <w:r>
        <w:rPr>
          <w:b/>
        </w:rPr>
        <w:t>`…/v2/`</w:t>
      </w:r>
      <w:r>
        <w:t xml:space="preserve"> and the original stays at </w:t>
      </w:r>
      <w:r>
        <w:rPr>
          <w:b/>
        </w:rPr>
        <w:t>`v1`</w:t>
      </w:r>
      <w:r>
        <w:t xml:space="preserve"> (use </w:t>
      </w:r>
      <w:r>
        <w:rPr>
          <w:b/>
        </w:rPr>
        <w:t>Sync</w:t>
      </w:r>
      <w:r>
        <w:t xml:space="preserve"> to refresh). Use </w:t>
      </w:r>
      <w:r>
        <w:rPr>
          <w:b/>
        </w:rPr>
        <w:t>"+ Add Step"</w:t>
      </w:r>
      <w:r>
        <w:t xml:space="preserve"> only if the round genuinely needs an *extra* review pass.</w:t>
      </w:r>
    </w:p>
    <w:p>
      <w:r>
        <w:rPr>
          <w:b/>
        </w:rPr>
        <w:t>c) Billing the round — this is where the order's invoice status decides everything: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>
              <w:rPr>
                <w:b/>
              </w:rPr>
              <w:t>The delivered order is…</w:t>
            </w:r>
          </w:p>
        </w:tc>
        <w:tc>
          <w:tcPr>
            <w:tcW w:type="dxa" w:w="4320"/>
            <w:shd w:val="clear" w:fill="D9E2F3"/>
          </w:tcPr>
          <w:p>
            <w:r>
              <w:rPr>
                <w:b/>
              </w:rPr>
              <w:t>Where the payable/receivable go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Not yet invoiced</w:t>
            </w:r>
            <w:r>
              <w:t xml:space="preserve"> (status not Paid/Invoiced)</w:t>
            </w:r>
          </w:p>
        </w:tc>
        <w:tc>
          <w:tcPr>
            <w:tcW w:type="dxa" w:w="4320"/>
          </w:tcPr>
          <w:p>
            <w:r>
              <w:t xml:space="preserve">Add the round's </w:t>
            </w:r>
            <w:r>
              <w:rPr>
                <w:b/>
              </w:rPr>
              <w:t>vendor payable</w:t>
            </w:r>
            <w:r>
              <w:t xml:space="preserve"> (the step's </w:t>
            </w:r>
            <w:r>
              <w:rPr>
                <w:b/>
              </w:rPr>
              <w:t>Purchase Order / Send PO</w:t>
            </w:r>
            <w:r>
              <w:t xml:space="preserve">) and, if the client is charged, a </w:t>
            </w:r>
            <w:r>
              <w:rPr>
                <w:b/>
              </w:rPr>
              <w:t>receivable + a supplementary invoice</w:t>
            </w:r>
            <w:r>
              <w:t xml:space="preserve"> — </w:t>
            </w:r>
            <w:r>
              <w:rPr>
                <w:b/>
              </w:rPr>
              <w:t>on the same order</w:t>
            </w:r>
            <w:r>
              <w:t xml:space="preserve">. The revised work stays as </w:t>
            </w:r>
            <w:r>
              <w:rPr>
                <w:rFonts w:ascii="Consolas" w:hAnsi="Consolas"/>
                <w:sz w:val="19"/>
              </w:rPr>
              <w:t>v2</w:t>
            </w:r>
            <w:r>
              <w:t xml:space="preserve"> in the same folder.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Already invoiced / Paid</w:t>
            </w:r>
          </w:p>
        </w:tc>
        <w:tc>
          <w:tcPr>
            <w:tcW w:type="dxa" w:w="4320"/>
          </w:tcPr>
          <w:p>
            <w:r>
              <w:t xml:space="preserve">The order is financially </w:t>
            </w:r>
            <w:r>
              <w:rPr>
                <w:b/>
              </w:rPr>
              <w:t>closed</w:t>
            </w:r>
            <w:r>
              <w:t xml:space="preserve"> — do </w:t>
            </w:r>
            <w:r>
              <w:rPr>
                <w:b/>
              </w:rPr>
              <w:t>not</w:t>
            </w:r>
            <w:r>
              <w:t xml:space="preserve"> add charges to it. </w:t>
            </w:r>
            <w:r>
              <w:rPr>
                <w:b/>
              </w:rPr>
              <w:t>Create a new order under the *same project* (`PRJ-…`)</w:t>
            </w:r>
            <w:r>
              <w:t xml:space="preserve">, with its own PO / payable / receivable / invoice. RWS normally issues a </w:t>
            </w:r>
            <w:r>
              <w:rPr>
                <w:b/>
              </w:rPr>
              <w:t>separate PO</w:t>
            </w:r>
            <w:r>
              <w:t xml:space="preserve"> for this (e.g. </w:t>
            </w:r>
            <w:r>
              <w:rPr>
                <w:b/>
              </w:rPr>
              <w:t>DEVRF</w:t>
            </w:r>
            <w:r>
              <w:t xml:space="preserve"> Developer Feedback Review, </w:t>
            </w:r>
            <w:r>
              <w:rPr>
                <w:b/>
              </w:rPr>
              <w:t>CLNFBR</w:t>
            </w:r>
            <w:r>
              <w:t xml:space="preserve"> Clinician Feedback Review) — onboard it per §3–10. It gets </w:t>
            </w:r>
            <w:r>
              <w:rPr>
                <w:b/>
              </w:rPr>
              <w:t>its own order folder under the same `PRJ` folder</w:t>
            </w:r>
            <w:r>
              <w:t>, so the project keeps all its rounds together.</w:t>
            </w:r>
          </w:p>
        </w:tc>
      </w:tr>
    </w:tbl>
    <w:p/>
    <w:p>
      <w:r>
        <w:t xml:space="preserve">In-scope corrections </w:t>
      </w:r>
      <w:r>
        <w:rPr>
          <w:b/>
        </w:rPr>
        <w:t>we</w:t>
      </w:r>
      <w:r>
        <w:t xml:space="preserve"> own are not charged to the client; client changes </w:t>
      </w:r>
      <w:r>
        <w:rPr>
          <w:b/>
        </w:rPr>
        <w:t>beyond the PO scope</w:t>
      </w:r>
      <w:r>
        <w:t xml:space="preserve"> are quoted to RWS and the vendor paid accordingly. </w:t>
      </w:r>
      <w:r>
        <w:rPr>
          <w:b/>
        </w:rPr>
        <w:t>Confirm chargeability (and the vendor rate) before starting paid revision work.</w:t>
      </w:r>
      <w:r>
        <w:t xml:space="preserve"> Use the order's </w:t>
      </w:r>
      <w:r>
        <w:rPr>
          <w:b/>
        </w:rPr>
        <w:t>Financials</w:t>
      </w:r>
      <w:r>
        <w:t xml:space="preserve"> bar (Client / Vendor / Margin) and </w:t>
      </w:r>
      <w:r>
        <w:rPr>
          <w:b/>
        </w:rPr>
        <w:t>Send PO</w:t>
      </w:r>
      <w:r>
        <w:t xml:space="preserve"> on the step to set the round's money; the vendor's invoice is accepted through </w:t>
      </w:r>
      <w:r>
        <w:rPr>
          <w:b/>
        </w:rPr>
        <w:t>Vendor Invoices</w:t>
      </w:r>
      <w:r>
        <w:t xml:space="preserve"> as usual.</w:t>
      </w:r>
    </w:p>
    <w:p>
      <w:pPr>
        <w:shd w:val="clear" w:fill="FFF2CC"/>
      </w:pPr>
      <w:r>
        <w:rPr>
          <w:b/>
        </w:rPr>
        <w:t xml:space="preserve">[ SCREENSHOT 10 ]  </w:t>
      </w:r>
      <w:r>
        <w:t>the order's workflow with the per-step "Send PO" + the "Financials: Client / Vendor / Margin" bar — where a round's payable and receivable are set</w:t>
      </w:r>
      <w:r>
        <w:rPr>
          <w:i/>
          <w:sz w:val="17"/>
        </w:rPr>
        <w:t xml:space="preserve">    capture: ss_49542a9ee — order workflow: per-step Send PO + the 'Financials: Client $137.50 / Vendor $20.00 / Margin' bar + issued invoice CSI-2026-001009</w:t>
      </w:r>
    </w:p>
    <w:p>
      <w:pPr>
        <w:shd w:val="clear" w:fill="FFF2CC"/>
      </w:pPr>
      <w:r>
        <w:rPr>
          <w:b/>
        </w:rPr>
        <w:t xml:space="preserve">[ SCREENSHOT 11 ]  </w:t>
      </w:r>
      <w:r>
        <w:t>an already-Paid order showing the "Part of PRJ-… · N prior tasks" chip — one project carrying multiple orders/rounds</w:t>
      </w:r>
      <w:r>
        <w:rPr>
          <w:i/>
          <w:sz w:val="17"/>
        </w:rPr>
        <w:t xml:space="preserve">    capture: ss_2003co9xp — Paid order detail showing the 'Part of PRJ-2026-00031 · 2 prior tasks' chip</w:t>
      </w:r>
    </w:p>
    <w:p>
      <w:pPr>
        <w:pStyle w:val="Heading1"/>
      </w:pPr>
      <w:r>
        <w:t>12. Audit-critical DON'Ts</w:t>
      </w:r>
    </w:p>
    <w:p>
      <w:pPr>
        <w:pStyle w:val="ListBullet"/>
      </w:pPr>
      <w:r>
        <w:t xml:space="preserve">✗ Never write </w:t>
      </w:r>
      <w:r>
        <w:rPr>
          <w:b/>
        </w:rPr>
        <w:t>"cloned from"</w:t>
      </w:r>
      <w:r>
        <w:t xml:space="preserve"> or reference another order/applicant on a record (IQVIA-sensitive).</w:t>
      </w:r>
    </w:p>
    <w:p>
      <w:pPr>
        <w:pStyle w:val="ListBullet"/>
      </w:pPr>
      <w:r>
        <w:t xml:space="preserve">✗ Never claim ISO 17100 </w:t>
      </w:r>
      <w:r>
        <w:rPr>
          <w:b/>
        </w:rPr>
        <w:t>certification</w:t>
      </w:r>
      <w:r>
        <w:t xml:space="preserve"> — Cethos is </w:t>
      </w:r>
      <w:r>
        <w:rPr>
          <w:b/>
        </w:rPr>
        <w:t>aligned</w:t>
      </w:r>
      <w:r>
        <w:t>, working toward Stage 2.</w:t>
      </w:r>
    </w:p>
    <w:p>
      <w:pPr>
        <w:pStyle w:val="ListBullet"/>
      </w:pPr>
      <w:r>
        <w:t xml:space="preserve">✗ Never label a validation/review step (proofreading, harmonization, etc.) an </w:t>
      </w:r>
      <w:r>
        <w:rPr>
          <w:b/>
        </w:rPr>
        <w:t>"ISO 17100 translation service."</w:t>
      </w:r>
    </w:p>
    <w:p>
      <w:pPr>
        <w:pStyle w:val="ListBullet"/>
      </w:pPr>
      <w:r>
        <w:t xml:space="preserve">✗ Never let the </w:t>
      </w:r>
      <w:r>
        <w:rPr>
          <w:b/>
        </w:rPr>
        <w:t>QA reviewer be the same person</w:t>
      </w:r>
      <w:r>
        <w:t xml:space="preserve"> as the producer.</w:t>
      </w:r>
    </w:p>
    <w:p>
      <w:pPr>
        <w:pStyle w:val="ListBullet"/>
      </w:pPr>
      <w:r>
        <w:t xml:space="preserve">✗ Never </w:t>
      </w:r>
      <w:r>
        <w:rPr>
          <w:b/>
        </w:rPr>
        <w:t>chain</w:t>
      </w:r>
      <w:r>
        <w:t xml:space="preserve"> the LV steps — each PO is its own independent single-step order.</w:t>
      </w:r>
    </w:p>
    <w:p>
      <w:pPr>
        <w:pStyle w:val="ListBullet"/>
      </w:pPr>
      <w:r>
        <w:t xml:space="preserve">✗ Never </w:t>
      </w:r>
      <w:r>
        <w:rPr>
          <w:b/>
        </w:rPr>
        <w:t>assign an unqualified linguist</w:t>
      </w:r>
      <w:r>
        <w:t xml:space="preserve"> or override the eligibility gate.</w:t>
      </w:r>
    </w:p>
    <w:p>
      <w:pPr>
        <w:pStyle w:val="Heading1"/>
      </w:pPr>
      <w:r>
        <w:t>13. Quick reference</w:t>
      </w:r>
    </w:p>
    <w:p>
      <w:pPr>
        <w:pStyle w:val="ListBullet"/>
      </w:pPr>
      <w:r>
        <w:rPr>
          <w:b/>
        </w:rPr>
        <w:t>RWS customer (USD, tax-exempt):</w:t>
      </w:r>
      <w:r>
        <w:t xml:space="preserve"> RWS Life Sciences, Inc.</w:t>
      </w:r>
    </w:p>
    <w:p>
      <w:pPr>
        <w:pStyle w:val="ListBullet"/>
      </w:pPr>
      <w:r>
        <w:rPr>
          <w:b/>
        </w:rPr>
        <w:t>Default QA reviewer:</w:t>
      </w:r>
      <w:r>
        <w:t xml:space="preserve"> Bobby Rawat (internal review).</w:t>
      </w:r>
    </w:p>
    <w:p>
      <w:pPr>
        <w:pStyle w:val="ListBullet"/>
      </w:pPr>
      <w:r>
        <w:rPr>
          <w:b/>
        </w:rPr>
        <w:t>Per-step recipes:</w:t>
      </w:r>
      <w:r>
        <w:t xml:space="preserve"> SOP-PR-003 Forward Translation · -004 Adaptation · -005 Reconciliation · -006 Back-translation · -007 BT Review · -008 Harmonization · -009 Proofreading · -010 Interview · -011 Finalization · SOP-PR-001 Cognitive Debriefing · SOP-PR-002 Clinician Review.</w:t>
      </w:r>
    </w:p>
    <w:p>
      <w:pPr>
        <w:pStyle w:val="ListBullet"/>
      </w:pPr>
      <w:r>
        <w:rPr>
          <w:b/>
        </w:rPr>
        <w:t>Framework:</w:t>
      </w:r>
      <w:r>
        <w:t xml:space="preserve"> SOP-LV-001 (the single-step + QA model, ISO conformance basis, shared procedures).</w:t>
      </w:r>
    </w:p>
    <w:p>
      <w:r>
        <w:t>*— End of TRN-RWS-001 v0.1. Controlled .docx with embedded screenshots is stored under Staff Training in the portal Documents library (audience: staff).*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