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891B2"/>
          <w:sz w:val="20"/>
          <w:szCs w:val="20"/>
        </w:rPr>
        <w:t xml:space="preserve">CETHOS · Vendor Qualification</w:t>
      </w:r>
    </w:p>
    <w:p>
      <w:pPr>
        <w:pBdr>
          <w:bottom w:val="single" w:color="0891B2" w:sz="6" w:space="2"/>
        </w:pBdr>
        <w:spacing w:after="60"/>
      </w:pPr>
      <w:r>
        <w:rPr>
          <w:b/>
          <w:bCs/>
          <w:color w:val="0C2340"/>
          <w:sz w:val="40"/>
          <w:szCs w:val="40"/>
        </w:rPr>
        <w:t xml:space="preserve">Linguist Approval — Step-by-Step Guide</w:t>
      </w:r>
    </w:p>
    <w:p>
      <w:pPr>
        <w:spacing w:after="200"/>
      </w:pPr>
      <w:r>
        <w:rPr>
          <w:color w:val="6B7280"/>
          <w:sz w:val="20"/>
          <w:szCs w:val="20"/>
        </w:rPr>
        <w:t xml:space="preserve">For: Vendor Management  ·  FINAL (validated live on the portal)  ·  23 Jun 2026  ·  Ahead of the IQVIA audit (29-30 Jun)</w:t>
      </w:r>
    </w:p>
    <w:p>
      <w:pPr>
        <w:pStyle w:val="Heading1"/>
      </w:pPr>
      <w:r>
        <w:t xml:space="preserve">1. What you are doing</w:t>
      </w:r>
    </w:p>
    <w:p>
      <w:pPr>
        <w:spacing w:after="120"/>
      </w:pPr>
      <w:r>
        <w:t xml:space="preserve">You are qualifying linguists into our approved pool before the IQVIA audit. For each candidate you will confirm the evidence, record the qualification basis, trim the domains to what is evidenced, and approve. If they are not ready but worth keeping, you ask them for what is missing. Each approval creates an active, qualified vendor and is permanently recorded.</w:t>
      </w:r>
    </w:p>
    <w:p>
      <w:pPr>
        <w:pBdr>
          <w:left w:val="single" w:color="E8A13A" w:sz="18" w:space="8"/>
        </w:pBdr>
        <w:shd w:fill="FFF4E5" w:val="clear"/>
        <w:spacing w:after="120" w:before="80"/>
      </w:pPr>
      <w:r>
        <w:rPr>
          <w:sz w:val="21"/>
          <w:szCs w:val="21"/>
        </w:rPr>
        <w:t xml:space="preserve">GOLDEN RULE: Confirm the evidence with your own eyes before you approve. Never approve on a claim you have not checked. If anything looks off or you are unsure - stop and flag Raminder. When in doubt, do not approve.</w:t>
      </w:r>
    </w:p>
    <w:p>
      <w:pPr>
        <w:pStyle w:val="Heading1"/>
      </w:pPr>
      <w:r>
        <w:t xml:space="preserve">2. Most important: follow the portal's on-screen guide</w:t>
      </w:r>
    </w:p>
    <w:p>
      <w:pPr>
        <w:spacing w:after="120"/>
      </w:pPr>
      <w:r>
        <w:t xml:space="preserve">Every applicant profile has an "ISO 17100 evidence" box and a numbered "Reviewer guide - how to approve this candidate." It is written for THAT candidate and tells you exactly what is missing and what to do. Read it first and follow it - this printed guide only explains the general steps.</w:t>
      </w:r>
    </w:p>
    <w:p>
      <w:pPr>
        <w:pBdr>
          <w:left w:val="single" w:color="0891B2" w:sz="18" w:space="8"/>
        </w:pBdr>
        <w:shd w:fill="EAF3F6" w:val="clear"/>
        <w:spacing w:after="120" w:before="80"/>
      </w:pPr>
      <w:r>
        <w:rPr>
          <w:sz w:val="21"/>
          <w:szCs w:val="21"/>
        </w:rPr>
        <w:t xml:space="preserve">"Not yet" is normal - it is NOT the system being broken. Most profiles start with a red "Not yet - basis not established by VERIFIED evidence." It just means you still have to record a verified basis and trim the domains, OR ask the candidate for what is missing. If you genuinely cannot make it approvable with real evidence and they cannot supply it, that is a correct outcome.</w:t>
      </w:r>
    </w:p>
    <w:p>
      <w:pPr>
        <w:pStyle w:val="Heading1"/>
      </w:pPr>
      <w:r>
        <w:t xml:space="preserve">3. Before you start</w:t>
      </w:r>
    </w:p>
    <w:p>
      <w:pPr>
        <w:pStyle w:val="ListParagraph"/>
        <w:numPr>
          <w:ilvl w:val="0"/>
          <w:numId w:val="2"/>
        </w:numPr>
        <w:spacing w:after="60"/>
      </w:pPr>
      <w:r>
        <w:t xml:space="preserve">Log in to portal.cethos.com/admin and open Recruitment.</w:t>
      </w:r>
    </w:p>
    <w:p>
      <w:pPr>
        <w:pStyle w:val="ListParagraph"/>
        <w:numPr>
          <w:ilvl w:val="0"/>
          <w:numId w:val="2"/>
        </w:numPr>
        <w:spacing w:after="60"/>
      </w:pPr>
      <w:r>
        <w:t xml:space="preserve">Find each candidate by typing their APP number into the search box.</w:t>
      </w:r>
    </w:p>
    <w:p>
      <w:pPr>
        <w:pStyle w:val="ListParagraph"/>
        <w:numPr>
          <w:ilvl w:val="0"/>
          <w:numId w:val="2"/>
        </w:numPr>
        <w:spacing w:after="60"/>
      </w:pPr>
      <w:r>
        <w:t xml:space="preserve">Keep this guide and the candidate list (Sections 7-8) beside you. Work one candidate at a time.</w:t>
      </w:r>
    </w:p>
    <w:p>
      <w:pPr>
        <w:pStyle w:val="Heading1"/>
      </w:pPr>
      <w:r>
        <w:t xml:space="preserve">4. How to approve a candidate - the real steps</w:t>
      </w:r>
    </w:p>
    <w:p>
      <w:pPr>
        <w:spacing w:after="120"/>
      </w:pPr>
      <w:r>
        <w:t xml:space="preserve">Read the "ISO 17100 evidence" box (COMPETENCE, BASIS, DOCUMENTS ON FILE, REFERENCES IN, DOMAINS) and the numbered Reviewer guide, then:</w:t>
      </w:r>
    </w:p>
    <w:p>
      <w:pPr>
        <w:pStyle w:val="ListParagraph"/>
        <w:numPr>
          <w:ilvl w:val="0"/>
          <w:numId w:val="2"/>
        </w:numPr>
        <w:spacing w:after="60"/>
      </w:pPr>
      <w:r>
        <w:t xml:space="preserve">ESTABLISH THE QUALIFICATION BASIS with verified evidence - one of these two routes:</w:t>
      </w:r>
    </w:p>
    <w:p>
      <w:pPr>
        <w:pStyle w:val="ListParagraph"/>
        <w:numPr>
          <w:ilvl w:val="0"/>
          <w:numId w:val="3"/>
        </w:numPr>
        <w:spacing w:after="60"/>
      </w:pPr>
      <w:r>
        <w:rPr>
          <w:b w:val="false"/>
          <w:bCs w:val="false"/>
        </w:rPr>
        <w:t xml:space="preserve">Experience route: if REFERENCES IN is 1 or more and the Reviewer guide says "references confirm ~N yrs," open and read the reference(s), confirm they really back the years and the language pair, then record the basis as 5 years' experience. No degree needed. (Fastest route - your Section 7 "Start here" list.)</w:t>
      </w:r>
    </w:p>
    <w:p>
      <w:pPr>
        <w:pStyle w:val="ListParagraph"/>
        <w:numPr>
          <w:ilvl w:val="0"/>
          <w:numId w:val="3"/>
        </w:numPr>
        <w:spacing w:after="60"/>
      </w:pPr>
      <w:r>
        <w:rPr>
          <w:b w:val="false"/>
          <w:bCs w:val="false"/>
        </w:rPr>
        <w:t xml:space="preserve">Degree route: only if a diploma is actually uploaded (DOCUMENTS ON FILE shows "CV + 1 uploaded" and the AI screening lists a translation/linguistics degree). Click Open, confirm with your own eyes it is a real translation or linguistics degree, then record the basis as a translation degree. If it says "CV/resume only" (no diploma), you cannot use this route - ask for the diploma or use references (Section 5).</w:t>
      </w:r>
    </w:p>
    <w:p>
      <w:pPr>
        <w:pStyle w:val="ListParagraph"/>
        <w:numPr>
          <w:ilvl w:val="0"/>
          <w:numId w:val="2"/>
        </w:numPr>
        <w:spacing w:after="60"/>
      </w:pPr>
      <w:r>
        <w:t xml:space="preserve">TRIM THE DOMAINS: item 4 of the Reviewer guide lists the domains with "NO test pass or cert" (e.g. Medical, Legal, Certified/Official, COA, Pharmaceutical). Remove those - approve ONLY the domains it marks as safe/evidenced.</w:t>
      </w:r>
    </w:p>
    <w:p>
      <w:pPr>
        <w:pStyle w:val="ListParagraph"/>
        <w:numPr>
          <w:ilvl w:val="0"/>
          <w:numId w:val="2"/>
        </w:numPr>
        <w:spacing w:after="60"/>
      </w:pPr>
      <w:r>
        <w:t xml:space="preserve">CHECK THE NDA: if it says "NDA not yet signed," that is fine - the linguist signs it (clickwrap) at first login after approval. Just confirm it before marking them active.</w:t>
      </w:r>
    </w:p>
    <w:p>
      <w:pPr>
        <w:pStyle w:val="ListParagraph"/>
        <w:numPr>
          <w:ilvl w:val="0"/>
          <w:numId w:val="2"/>
        </w:numPr>
        <w:spacing w:after="60"/>
      </w:pPr>
      <w:r>
        <w:t xml:space="preserve">CLICK APPROVE: in the modal, pick the basis you established and the evidenced domains, then confirm. The verdict flips from "Not yet" to approved and the vendor is created.</w:t>
      </w:r>
    </w:p>
    <w:p>
      <w:pPr>
        <w:pBdr>
          <w:left w:val="single" w:color="0891B2" w:sz="18" w:space="8"/>
        </w:pBdr>
        <w:shd w:fill="EAF3F6" w:val="clear"/>
        <w:spacing w:after="120" w:before="80"/>
      </w:pPr>
      <w:r>
        <w:rPr>
          <w:sz w:val="21"/>
          <w:szCs w:val="21"/>
        </w:rPr>
        <w:t xml:space="preserve">A passed test alone is NOT enough, and a "skip / credential review" combo is NOT a test pass. Approval always needs a verified basis (a checked diploma, or references confirming the years). That is the part only a person can do.</w:t>
      </w:r>
    </w:p>
    <w:p>
      <w:pPr>
        <w:pStyle w:val="Heading1"/>
      </w:pPr>
      <w:r>
        <w:t xml:space="preserve">5. If a candidate is not ready - reach out for more information</w:t>
      </w:r>
    </w:p>
    <w:p>
      <w:pPr>
        <w:spacing w:after="120"/>
      </w:pPr>
      <w:r>
        <w:t xml:space="preserve">Some candidates are clearly worth keeping - especially good clinical / COA (Clinical Outcome Assessment) candidates - but are missing one thing: a CV, a diploma, references, or a confirmation. Do NOT reject them and do NOT leave them stuck. Ask them - the portal writes the email for you:</w:t>
      </w:r>
    </w:p>
    <w:p>
      <w:pPr>
        <w:pStyle w:val="ListParagraph"/>
        <w:numPr>
          <w:ilvl w:val="0"/>
          <w:numId w:val="2"/>
        </w:numPr>
        <w:spacing w:after="60"/>
      </w:pPr>
      <w:r>
        <w:t xml:space="preserve">On the candidate's profile, in the Decision panel on the right, click "Request Info" (a free-text request) or "Request Documents" (to ask for specific files like a diploma).</w:t>
      </w:r>
    </w:p>
    <w:p>
      <w:pPr>
        <w:pStyle w:val="ListParagraph"/>
        <w:numPr>
          <w:ilvl w:val="0"/>
          <w:numId w:val="2"/>
        </w:numPr>
        <w:spacing w:after="60"/>
      </w:pPr>
      <w:r>
        <w:t xml:space="preserve">Type in plain words what you need - e.g. "Need your CV, a degree certificate if you have one, and confirmation of your years of clinical / COA experience." You do not need to write a polished email.</w:t>
      </w:r>
    </w:p>
    <w:p>
      <w:pPr>
        <w:pStyle w:val="ListParagraph"/>
        <w:numPr>
          <w:ilvl w:val="0"/>
          <w:numId w:val="2"/>
        </w:numPr>
        <w:spacing w:after="60"/>
      </w:pPr>
      <w:r>
        <w:t xml:space="preserve">The system's AI rewrites your notes into a professional, friendly message. A Preview appears - read it, edit the subject or body if you want, then click Send.</w:t>
      </w:r>
    </w:p>
    <w:p>
      <w:pPr>
        <w:pStyle w:val="ListParagraph"/>
        <w:numPr>
          <w:ilvl w:val="0"/>
          <w:numId w:val="2"/>
        </w:numPr>
        <w:spacing w:after="60"/>
      </w:pPr>
      <w:r>
        <w:t xml:space="preserve">The message is logged on the candidate's Conversation thread and sent from our monitored inbox. When the candidate replies, our AI inbox reads and routes the reply automatically - it shows up on this same profile.</w:t>
      </w:r>
    </w:p>
    <w:p>
      <w:pPr>
        <w:pStyle w:val="ListParagraph"/>
        <w:numPr>
          <w:ilvl w:val="0"/>
          <w:numId w:val="2"/>
        </w:numPr>
        <w:spacing w:after="60"/>
      </w:pPr>
      <w:r>
        <w:t xml:space="preserve">When they send the missing piece, come back and approve them with the Section 4 steps.</w:t>
      </w:r>
    </w:p>
    <w:p>
      <w:pPr>
        <w:pBdr>
          <w:left w:val="single" w:color="0891B2" w:sz="18" w:space="8"/>
        </w:pBdr>
        <w:shd w:fill="EAF3F6" w:val="clear"/>
        <w:spacing w:after="120" w:before="80"/>
      </w:pPr>
      <w:r>
        <w:rPr>
          <w:sz w:val="21"/>
          <w:szCs w:val="21"/>
        </w:rPr>
        <w:t xml:space="preserve">COA / clinical rule: clinical-capable linguists are scarce. If someone looks like a good fit for clinical work but is not fully evidenced yet, ALWAYS request the missing piece (CV, degree, clinical-experience confirmation, or references) rather than rejecting them - keep them moving toward approval. (For linguists who are already approved vendors, the same messaging tool is on their vendor profile under the Communication tab.)</w:t>
      </w:r>
    </w:p>
    <w:p>
      <w:pPr>
        <w:pStyle w:val="Heading1"/>
      </w:pPr>
      <w:r>
        <w:t xml:space="preserve">6. When to STOP and flag Raminder</w:t>
      </w:r>
    </w:p>
    <w:p>
      <w:pPr>
        <w:pStyle w:val="ListParagraph"/>
        <w:numPr>
          <w:ilvl w:val="0"/>
          <w:numId w:val="3"/>
        </w:numPr>
        <w:spacing w:after="60"/>
      </w:pPr>
      <w:r>
        <w:rPr>
          <w:b w:val="false"/>
          <w:bCs w:val="false"/>
        </w:rPr>
        <w:t xml:space="preserve">The degree or experience on screen does not match the CV, or names don't match across CV / certificate / reference.</w:t>
      </w:r>
    </w:p>
    <w:p>
      <w:pPr>
        <w:pStyle w:val="ListParagraph"/>
        <w:numPr>
          <w:ilvl w:val="0"/>
          <w:numId w:val="3"/>
        </w:numPr>
        <w:spacing w:after="60"/>
      </w:pPr>
      <w:r>
        <w:rPr>
          <w:b w:val="false"/>
          <w:bCs w:val="false"/>
        </w:rPr>
        <w:t xml:space="preserve">An expired certificate, or a person claiming to be "ISO 17100 certified" (that certifies companies, not individuals).</w:t>
      </w:r>
    </w:p>
    <w:p>
      <w:pPr>
        <w:pStyle w:val="ListParagraph"/>
        <w:numPr>
          <w:ilvl w:val="0"/>
          <w:numId w:val="3"/>
        </w:numPr>
        <w:spacing w:after="60"/>
      </w:pPr>
      <w:r>
        <w:rPr>
          <w:b w:val="false"/>
          <w:bCs w:val="false"/>
        </w:rPr>
        <w:t xml:space="preserve">A company name instead of a person (that's an agency - Section 9), or anything you are unsure about. Pausing to ask is always correct.</w:t>
      </w:r>
    </w:p>
    <w:p>
      <w:pPr>
        <w:pStyle w:val="Heading1"/>
      </w:pPr>
      <w:r>
        <w:t xml:space="preserve">7. Start here - candidates with references already in (experience route)</w:t>
      </w:r>
    </w:p>
    <w:p>
      <w:pPr>
        <w:spacing w:after="120"/>
      </w:pPr>
      <w:r>
        <w:t xml:space="preserve">These have references received. For each: read the reference, record basis = 5 years' experience, trim domains, approve. "Yrs" = the earliest year a referee confirmed. All have an NDA on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700"/>
        <w:gridCol w:w="3460"/>
      </w:tblGrid>
      <w:tr>
        <w:trPr>
          <w:tblHeader/>
        </w:trPr>
        <w:tc>
          <w:tcPr>
            <w:tcW w:type="dxa" w:w="3500"/>
            <w:tcBorders>
              <w:top w:val="single" w:color="CCCCCC" w:sz="1"/>
              <w:left w:val="single" w:color="CCCCCC" w:sz="1"/>
              <w:bottom w:val="single" w:color="CCCCCC" w:sz="1"/>
              <w:right w:val="single" w:color="CCCCCC" w:sz="1"/>
            </w:tcBorders>
            <w:shd w:fill="0C2340" w:val="clear"/>
            <w:tcMar>
              <w:top w:type="dxa" w:w="60"/>
              <w:left w:type="dxa" w:w="120"/>
              <w:bottom w:type="dxa" w:w="60"/>
              <w:right w:type="dxa" w:w="120"/>
            </w:tcMar>
          </w:tcPr>
          <w:p>
            <w:r>
              <w:rPr>
                <w:b/>
                <w:bCs/>
                <w:color w:val="FFFFFF"/>
                <w:sz w:val="20"/>
                <w:szCs w:val="20"/>
              </w:rPr>
              <w:t xml:space="preserve">Name</w:t>
            </w:r>
          </w:p>
        </w:tc>
        <w:tc>
          <w:tcPr>
            <w:tcW w:type="dxa" w:w="1700"/>
            <w:tcBorders>
              <w:top w:val="single" w:color="CCCCCC" w:sz="1"/>
              <w:left w:val="single" w:color="CCCCCC" w:sz="1"/>
              <w:bottom w:val="single" w:color="CCCCCC" w:sz="1"/>
              <w:right w:val="single" w:color="CCCCCC" w:sz="1"/>
            </w:tcBorders>
            <w:shd w:fill="0C2340" w:val="clear"/>
            <w:tcMar>
              <w:top w:type="dxa" w:w="60"/>
              <w:left w:type="dxa" w:w="120"/>
              <w:bottom w:type="dxa" w:w="60"/>
              <w:right w:type="dxa" w:w="120"/>
            </w:tcMar>
          </w:tcPr>
          <w:p>
            <w:r>
              <w:rPr>
                <w:b/>
                <w:bCs/>
                <w:color w:val="FFFFFF"/>
                <w:sz w:val="20"/>
                <w:szCs w:val="20"/>
              </w:rPr>
              <w:t xml:space="preserve">Application</w:t>
            </w:r>
          </w:p>
        </w:tc>
        <w:tc>
          <w:tcPr>
            <w:tcW w:type="dxa" w:w="700"/>
            <w:tcBorders>
              <w:top w:val="single" w:color="CCCCCC" w:sz="1"/>
              <w:left w:val="single" w:color="CCCCCC" w:sz="1"/>
              <w:bottom w:val="single" w:color="CCCCCC" w:sz="1"/>
              <w:right w:val="single" w:color="CCCCCC" w:sz="1"/>
            </w:tcBorders>
            <w:shd w:fill="0C2340" w:val="clear"/>
            <w:tcMar>
              <w:top w:type="dxa" w:w="60"/>
              <w:left w:type="dxa" w:w="120"/>
              <w:bottom w:type="dxa" w:w="60"/>
              <w:right w:type="dxa" w:w="120"/>
            </w:tcMar>
          </w:tcPr>
          <w:p>
            <w:r>
              <w:rPr>
                <w:b/>
                <w:bCs/>
                <w:color w:val="FFFFFF"/>
                <w:sz w:val="20"/>
                <w:szCs w:val="20"/>
              </w:rPr>
              <w:t xml:space="preserve">Yrs</w:t>
            </w:r>
          </w:p>
        </w:tc>
        <w:tc>
          <w:tcPr>
            <w:tcW w:type="dxa" w:w="3460"/>
            <w:tcBorders>
              <w:top w:val="single" w:color="CCCCCC" w:sz="1"/>
              <w:left w:val="single" w:color="CCCCCC" w:sz="1"/>
              <w:bottom w:val="single" w:color="CCCCCC" w:sz="1"/>
              <w:right w:val="single" w:color="CCCCCC" w:sz="1"/>
            </w:tcBorders>
            <w:shd w:fill="0C2340" w:val="clear"/>
            <w:tcMar>
              <w:top w:type="dxa" w:w="60"/>
              <w:left w:type="dxa" w:w="120"/>
              <w:bottom w:type="dxa" w:w="60"/>
              <w:right w:type="dxa" w:w="120"/>
            </w:tcMar>
          </w:tcPr>
          <w:p>
            <w:r>
              <w:rPr>
                <w:b/>
                <w:bCs/>
                <w:color w:val="FFFFFF"/>
                <w:sz w:val="20"/>
                <w:szCs w:val="20"/>
              </w:rPr>
              <w:t xml:space="preserve">Note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Gabriela Hernandez</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APP-26-0946</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31</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also has a diploma uploaded — verify it too</w:t>
            </w:r>
          </w:p>
        </w:tc>
      </w:tr>
      <w:tr>
        <w:tc>
          <w:tcPr>
            <w:tcW w:type="dxa" w:w="35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Monica Manunta</w:t>
            </w:r>
          </w:p>
        </w:tc>
        <w:tc>
          <w:tcPr>
            <w:tcW w:type="dxa" w:w="1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APP-26-0268</w:t>
            </w:r>
          </w:p>
        </w:tc>
        <w:tc>
          <w:tcPr>
            <w:tcW w:type="dxa" w:w="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21</w:t>
            </w:r>
          </w:p>
        </w:tc>
        <w:tc>
          <w:tcPr>
            <w:tcW w:type="dxa" w:w="346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Melanie de Casanova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APP-26-0356</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19</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Marc-Andre Seguin</w:t>
            </w:r>
          </w:p>
        </w:tc>
        <w:tc>
          <w:tcPr>
            <w:tcW w:type="dxa" w:w="1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APP-26-0641</w:t>
            </w:r>
          </w:p>
        </w:tc>
        <w:tc>
          <w:tcPr>
            <w:tcW w:type="dxa" w:w="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19</w:t>
            </w:r>
          </w:p>
        </w:tc>
        <w:tc>
          <w:tcPr>
            <w:tcW w:type="dxa" w:w="346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Shahab Varkouhi</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APP-26-0055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16</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Daniela Alunni</w:t>
            </w:r>
          </w:p>
        </w:tc>
        <w:tc>
          <w:tcPr>
            <w:tcW w:type="dxa" w:w="1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APP-26-0259</w:t>
            </w:r>
          </w:p>
        </w:tc>
        <w:tc>
          <w:tcPr>
            <w:tcW w:type="dxa" w:w="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16</w:t>
            </w:r>
          </w:p>
        </w:tc>
        <w:tc>
          <w:tcPr>
            <w:tcW w:type="dxa" w:w="346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Yakov Katsman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APP-26-0283</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14</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Yolette Gomez Buitrago</w:t>
            </w:r>
          </w:p>
        </w:tc>
        <w:tc>
          <w:tcPr>
            <w:tcW w:type="dxa" w:w="1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APP-26-0242</w:t>
            </w:r>
          </w:p>
        </w:tc>
        <w:tc>
          <w:tcPr>
            <w:tcW w:type="dxa" w:w="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14</w:t>
            </w:r>
          </w:p>
        </w:tc>
        <w:tc>
          <w:tcPr>
            <w:tcW w:type="dxa" w:w="346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Karine Blanchard Gagne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APP-26-0415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12</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clinical-capable</w:t>
            </w:r>
          </w:p>
        </w:tc>
      </w:tr>
      <w:tr>
        <w:tc>
          <w:tcPr>
            <w:tcW w:type="dxa" w:w="35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Veronique Eloir</w:t>
            </w:r>
          </w:p>
        </w:tc>
        <w:tc>
          <w:tcPr>
            <w:tcW w:type="dxa" w:w="1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APP-26-0695</w:t>
            </w:r>
          </w:p>
        </w:tc>
        <w:tc>
          <w:tcPr>
            <w:tcW w:type="dxa" w:w="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11</w:t>
            </w:r>
          </w:p>
        </w:tc>
        <w:tc>
          <w:tcPr>
            <w:tcW w:type="dxa" w:w="346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Preeti Madhwal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APP-26-0687</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10</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Ninon Dion</w:t>
            </w:r>
          </w:p>
        </w:tc>
        <w:tc>
          <w:tcPr>
            <w:tcW w:type="dxa" w:w="1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APP-26-0254</w:t>
            </w:r>
          </w:p>
        </w:tc>
        <w:tc>
          <w:tcPr>
            <w:tcW w:type="dxa" w:w="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8</w:t>
            </w:r>
          </w:p>
        </w:tc>
        <w:tc>
          <w:tcPr>
            <w:tcW w:type="dxa" w:w="346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Cecilia Pinnola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APP-26-0633</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8</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Adrieli Martins</w:t>
            </w:r>
          </w:p>
        </w:tc>
        <w:tc>
          <w:tcPr>
            <w:tcW w:type="dxa" w:w="1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APP-26-0628</w:t>
            </w:r>
          </w:p>
        </w:tc>
        <w:tc>
          <w:tcPr>
            <w:tcW w:type="dxa" w:w="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7</w:t>
            </w:r>
          </w:p>
        </w:tc>
        <w:tc>
          <w:tcPr>
            <w:tcW w:type="dxa" w:w="346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Mahdi Alavi</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APP-26-0020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7</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Ashraf Sohrabi Renani</w:t>
            </w:r>
          </w:p>
        </w:tc>
        <w:tc>
          <w:tcPr>
            <w:tcW w:type="dxa" w:w="1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APP-26-0044</w:t>
            </w:r>
          </w:p>
        </w:tc>
        <w:tc>
          <w:tcPr>
            <w:tcW w:type="dxa" w:w="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6</w:t>
            </w:r>
          </w:p>
        </w:tc>
        <w:tc>
          <w:tcPr>
            <w:tcW w:type="dxa" w:w="346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Kamil Marin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APP-26-0409</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6</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
            </w:r>
          </w:p>
        </w:tc>
      </w:tr>
    </w:tbl>
    <w:p>
      <w:pPr>
        <w:pStyle w:val="Heading1"/>
      </w:pPr>
      <w:r>
        <w:t xml:space="preserve">8. Degree candidates - open and verify the diploma first</w:t>
      </w:r>
    </w:p>
    <w:p>
      <w:pPr>
        <w:spacing w:after="120"/>
      </w:pPr>
      <w:r>
        <w:t xml:space="preserve">The CV scan flagged a translation degree for these, but a degree on a CV is self-declared. Open each profile: if a diploma is uploaded, verify it and use the degree route; if it says "CV/resume only," use Section 5 to ask for the diploma (or references), then approve later. Do not approve on a self-declared degree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CCCCCC" w:sz="1"/>
              <w:left w:val="single" w:color="CCCCCC" w:sz="1"/>
              <w:bottom w:val="single" w:color="CCCCCC" w:sz="1"/>
              <w:right w:val="single" w:color="CCCCCC" w:sz="1"/>
            </w:tcBorders>
            <w:shd w:fill="0C2340" w:val="clear"/>
            <w:tcMar>
              <w:top w:type="dxa" w:w="60"/>
              <w:left w:type="dxa" w:w="120"/>
              <w:bottom w:type="dxa" w:w="60"/>
              <w:right w:type="dxa" w:w="120"/>
            </w:tcMar>
          </w:tcPr>
          <w:p>
            <w:r>
              <w:rPr>
                <w:b/>
                <w:bCs/>
                <w:color w:val="FFFFFF"/>
                <w:sz w:val="20"/>
                <w:szCs w:val="20"/>
              </w:rPr>
              <w:t xml:space="preserve">Name</w:t>
            </w:r>
          </w:p>
        </w:tc>
        <w:tc>
          <w:tcPr>
            <w:tcW w:type="dxa" w:w="1700"/>
            <w:tcBorders>
              <w:top w:val="single" w:color="CCCCCC" w:sz="1"/>
              <w:left w:val="single" w:color="CCCCCC" w:sz="1"/>
              <w:bottom w:val="single" w:color="CCCCCC" w:sz="1"/>
              <w:right w:val="single" w:color="CCCCCC" w:sz="1"/>
            </w:tcBorders>
            <w:shd w:fill="0C2340" w:val="clear"/>
            <w:tcMar>
              <w:top w:type="dxa" w:w="60"/>
              <w:left w:type="dxa" w:w="120"/>
              <w:bottom w:type="dxa" w:w="60"/>
              <w:right w:type="dxa" w:w="120"/>
            </w:tcMar>
          </w:tcPr>
          <w:p>
            <w:r>
              <w:rPr>
                <w:b/>
                <w:bCs/>
                <w:color w:val="FFFFFF"/>
                <w:sz w:val="20"/>
                <w:szCs w:val="20"/>
              </w:rPr>
              <w:t xml:space="preserve">Application</w:t>
            </w:r>
          </w:p>
        </w:tc>
        <w:tc>
          <w:tcPr>
            <w:tcW w:type="dxa" w:w="4660"/>
            <w:tcBorders>
              <w:top w:val="single" w:color="CCCCCC" w:sz="1"/>
              <w:left w:val="single" w:color="CCCCCC" w:sz="1"/>
              <w:bottom w:val="single" w:color="CCCCCC" w:sz="1"/>
              <w:right w:val="single" w:color="CCCCCC" w:sz="1"/>
            </w:tcBorders>
            <w:shd w:fill="0C2340" w:val="clear"/>
            <w:tcMar>
              <w:top w:type="dxa" w:w="60"/>
              <w:left w:type="dxa" w:w="120"/>
              <w:bottom w:type="dxa" w:w="60"/>
              <w:right w:type="dxa" w:w="120"/>
            </w:tcMar>
          </w:tcPr>
          <w:p>
            <w:r>
              <w:rPr>
                <w:b/>
                <w:bCs/>
                <w:color w:val="FFFFFF"/>
                <w:sz w:val="20"/>
                <w:szCs w:val="20"/>
              </w:rPr>
              <w:t xml:space="preserve">What to do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marzieh ghodsi</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APP-26-0144</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passed test; CV only — needs diploma OR references first</w:t>
            </w:r>
          </w:p>
        </w:tc>
      </w:tr>
      <w:tr>
        <w:tc>
          <w:tcPr>
            <w:tcW w:type="dxa" w:w="30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Fahimeh Mohsenizadeh</w:t>
            </w:r>
          </w:p>
        </w:tc>
        <w:tc>
          <w:tcPr>
            <w:tcW w:type="dxa" w:w="1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APP-26-0118</w:t>
            </w:r>
          </w:p>
        </w:tc>
        <w:tc>
          <w:tcPr>
            <w:tcW w:type="dxa" w:w="466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open profile — verify an uploaded diploma, else request 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Anastasia Kyritsi</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APP-26-0152</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open profile — verify an uploaded diploma, else request it</w:t>
            </w:r>
          </w:p>
        </w:tc>
      </w:tr>
      <w:tr>
        <w:tc>
          <w:tcPr>
            <w:tcW w:type="dxa" w:w="30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Delaram Khakpour</w:t>
            </w:r>
          </w:p>
        </w:tc>
        <w:tc>
          <w:tcPr>
            <w:tcW w:type="dxa" w:w="1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APP-26-0009</w:t>
            </w:r>
          </w:p>
        </w:tc>
        <w:tc>
          <w:tcPr>
            <w:tcW w:type="dxa" w:w="466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open profile — verify an uploaded diploma, else request 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Najleh Maleki-Nejad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APP-26-0131</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open profile — verify an uploaded diploma, else request it</w:t>
            </w:r>
          </w:p>
        </w:tc>
      </w:tr>
      <w:tr>
        <w:tc>
          <w:tcPr>
            <w:tcW w:type="dxa" w:w="30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Thu-Trang Pham</w:t>
            </w:r>
          </w:p>
        </w:tc>
        <w:tc>
          <w:tcPr>
            <w:tcW w:type="dxa" w:w="170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APP-26-0158</w:t>
            </w:r>
          </w:p>
        </w:tc>
        <w:tc>
          <w:tcPr>
            <w:tcW w:type="dxa" w:w="4660"/>
            <w:tcBorders>
              <w:top w:val="single" w:color="CCCCCC" w:sz="1"/>
              <w:left w:val="single" w:color="CCCCCC" w:sz="1"/>
              <w:bottom w:val="single" w:color="CCCCCC" w:sz="1"/>
              <w:right w:val="single" w:color="CCCCCC" w:sz="1"/>
            </w:tcBorders>
            <w:shd w:fill="EAF3F6" w:val="clear"/>
            <w:tcMar>
              <w:top w:type="dxa" w:w="60"/>
              <w:left w:type="dxa" w:w="120"/>
              <w:bottom w:type="dxa" w:w="60"/>
              <w:right w:type="dxa" w:w="120"/>
            </w:tcMar>
          </w:tcPr>
          <w:p>
            <w:r>
              <w:rPr>
                <w:b w:val="false"/>
                <w:bCs w:val="false"/>
                <w:color w:val="111827"/>
                <w:sz w:val="20"/>
                <w:szCs w:val="20"/>
              </w:rPr>
              <w:t xml:space="preserve">open profile — verify an uploaded diploma, else request 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Zsuzsa Toth</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APP-26-0153</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111827"/>
                <w:sz w:val="20"/>
                <w:szCs w:val="20"/>
              </w:rPr>
              <w:t xml:space="preserve">passed test; CV only + no NDA — needs diploma OR references first</w:t>
            </w:r>
          </w:p>
        </w:tc>
      </w:tr>
    </w:tbl>
    <w:p>
      <w:pPr>
        <w:pStyle w:val="Heading1"/>
      </w:pPr>
      <w:r>
        <w:t xml:space="preserve">9. Need references first, and agencies</w:t>
      </w:r>
    </w:p>
    <w:p>
      <w:pPr>
        <w:spacing w:after="120"/>
      </w:pPr>
      <w:r>
        <w:t xml:space="preserve">Use Section 5 (Request References) on these, then approve via the experience route once a referee replies:</w:t>
      </w:r>
    </w:p>
    <w:p>
      <w:pPr>
        <w:spacing w:after="120"/>
      </w:pPr>
      <w:r>
        <w:rPr>
          <w:sz w:val="20"/>
          <w:szCs w:val="20"/>
        </w:rPr>
        <w:t xml:space="preserve">APP-26-0062 Narges Rasouli  ·  0159 Marjan Karbalaee  ·  0028 Alan Momen  ·  0046 Shaghig Abedi  ·  0143 Alexandre Maricato  ·  0171 Maria Emilia Gonzalez Saua  ·  0150 Rauf Allahverdiyev  ·  0168 Mohammadsadegh Doostan</w:t>
      </w:r>
    </w:p>
    <w:p>
      <w:pPr>
        <w:spacing w:after="120"/>
      </w:pPr>
      <w:r>
        <w:rPr>
          <w:sz w:val="20"/>
          <w:szCs w:val="20"/>
        </w:rPr>
        <w:t xml:space="preserve">Agencies (a company name, not a person) qualify on a different basis - do NOT approve them here, flag to Raminder: APP-26-0791 L10N Studio Lda  ·  0200 Van Tol-Heraud EIRL  ·  0953 Wessence Language Lab  ·  0675 Lumina Judicial Interpreting LLC.</w:t>
      </w:r>
    </w:p>
    <w:p>
      <w:pPr>
        <w:pStyle w:val="Heading1"/>
      </w:pPr>
      <w:r>
        <w:t xml:space="preserve">10. What gets recorded</w:t>
      </w:r>
    </w:p>
    <w:p>
      <w:pPr>
        <w:spacing w:after="120"/>
      </w:pPr>
      <w:r>
        <w:t xml:space="preserve">Every approval logs who approved, when, and on what basis. The basis you choose must reflect the real evidence you confirmed - this is exactly what the auditor checks. A monthly quality spot-check re-reviews a sample of approvals (SOP-003).</w:t>
      </w:r>
    </w:p>
    <w:p>
      <w:pPr>
        <w:pBdr>
          <w:top w:val="single" w:color="CCCCCC" w:sz="4" w:space="4"/>
        </w:pBdr>
        <w:spacing w:before="200"/>
      </w:pPr>
      <w:r>
        <w:rPr>
          <w:i/>
          <w:iCs/>
          <w:color w:val="6B7280"/>
          <w:sz w:val="20"/>
          <w:szCs w:val="20"/>
        </w:rPr>
        <w:t xml:space="preserve">Questions while you work? Message Raminder. Do not guess on anything that affects a qualification.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C234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891B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2026-06-23T18:15:41.466Z</dcterms:created>
  <dcterms:modified xsi:type="dcterms:W3CDTF">2026-06-23T18:15:41.466Z</dcterms:modified>
</cp:coreProperties>
</file>

<file path=docProps/custom.xml><?xml version="1.0" encoding="utf-8"?>
<Properties xmlns="http://schemas.openxmlformats.org/officeDocument/2006/custom-properties" xmlns:vt="http://schemas.openxmlformats.org/officeDocument/2006/docPropsVTypes"/>
</file>