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drawing>
          <wp:inline distT="0" distB="0" distL="0" distR="0">
            <wp:extent cx="1790700" cy="304800"/>
            <wp:effectExtent t="0" r="0" b="0" l="0"/>
            <wp:docPr id="1" name="logo" descr="Cethos logo" title="Cet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60" w:before="0"/>
      </w:pPr>
      <w:r>
        <w:t xml:space="preserve">SOP-019 — Qualification of Linguists for COA Linguistic Validation</w:t>
      </w:r>
    </w:p>
    <w:p>
      <w:pPr>
        <w:spacing w:after="120"/>
      </w:pPr>
      <w:r>
        <w:rPr>
          <w:b w:val="false"/>
          <w:bCs w:val="false"/>
          <w:color w:val="64748B"/>
          <w:sz w:val="22"/>
          <w:szCs w:val="22"/>
        </w:rPr>
        <w:t xml:space="preserve">Verification guide — confirm the SOP matches the live system </w:t>
      </w:r>
      <w:r>
        <w:rPr>
          <w:b/>
          <w:bCs/>
          <w:color w:val="64748B"/>
          <w:sz w:val="22"/>
          <w:szCs w:val="22"/>
        </w:rPr>
        <w:t xml:space="preserve">(portal.cethos.com/admin)</w:t>
      </w:r>
    </w:p>
    <w:p>
      <w:pPr>
        <w:spacing w:after="120"/>
      </w:pPr>
      <w:r>
        <w:rPr>
          <w:b/>
          <w:bCs/>
          <w:color w:val="64748B"/>
          <w:sz w:val="18"/>
          <w:szCs w:val="18"/>
        </w:rPr>
        <w:t xml:space="preserve">Reviewer: Fayza El Bezzari      ·      Version 1.0  ·  26 June 2026  ·  Doc CTH-VRF-019</w:t>
      </w:r>
    </w:p>
    <w:p>
      <w:pPr>
        <w:spacing w:after="120"/>
      </w:pPr>
      <w:r>
        <w:rPr>
          <w:b w:val="false"/>
          <w:bCs w:val="false"/>
        </w:rPr>
        <w:t xml:space="preserve">Use this guide to confirm that </w:t>
      </w:r>
      <w:r>
        <w:rPr>
          <w:b/>
          <w:bCs/>
        </w:rPr>
        <w:t xml:space="preserve">SOP-019 (Qualification of Linguists for COA Linguistic Validation)</w:t>
      </w:r>
      <w:r>
        <w:rPr>
          <w:b w:val="false"/>
          <w:bCs w:val="false"/>
        </w:rPr>
        <w:t xml:space="preserve"> describes what the portal actually does, ahead of the IQVIA audit. Every step has a </w:t>
      </w:r>
      <w:r>
        <w:rPr>
          <w:b/>
          <w:bCs/>
        </w:rPr>
        <w:t xml:space="preserve">real screenshot of the live system</w:t>
      </w:r>
      <w:r>
        <w:rPr>
          <w:b w:val="false"/>
          <w:bCs w:val="false"/>
        </w:rPr>
        <w:t xml:space="preserve"> — you only read and confirm.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9DA0" w:sz="4"/>
              <w:left w:val="single" w:color="0F9DA0" w:sz="24"/>
              <w:bottom w:val="single" w:color="0F9DA0" w:sz="4"/>
              <w:right w:val="single" w:color="0F9DA0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9DA0"/>
                <w:sz w:val="20"/>
                <w:szCs w:val="20"/>
              </w:rPr>
              <w:t xml:space="preserve">Golden rule</w:t>
            </w:r>
          </w:p>
          <w:p>
            <w:pPr>
              <w:spacing w:after="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Look only.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You are confirming that the qualification requirements are published and that a real COA-qualified vendor shows the correct status on their QUALITY tab. If something doesn't match, write it in the Notes box.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2340" w:sz="4"/>
              <w:left w:val="single" w:color="0C2340" w:sz="24"/>
              <w:bottom w:val="single" w:color="0C2340" w:sz="4"/>
              <w:right w:val="single" w:color="0C2340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C2340"/>
                <w:sz w:val="20"/>
                <w:szCs w:val="20"/>
              </w:rPr>
              <w:t xml:space="preserve">What we already checked (validation summary)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Validated on the live portal. SOP-019 defines the five cumulative gates a linguist must meet before being assigned to any COA Linguistic Validation workflow: (1) role qualification with ISO §3.1.4 basis + Tier-2 verified evidence; (2) subject-matter qualification in Life Sciences / clinical area; (3) active NDA; (4) COA LV training on record; (5) competence assessed at ≥90% + graded sample translation. All five gates are enforced by the portal QMS assignment gate. Cross-references verified: §1 references SOP-003 (Vendor Qualification), §5 references SOP-014 (Data Security).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Confirmed on a real vendor record: a COA-qualified vendor shows a green </w:t>
            </w:r>
            <w:r>
              <w:rPr>
                <w:b/>
                <w:bCs/>
                <w:color w:val="334155"/>
                <w:sz w:val="20"/>
                <w:szCs w:val="20"/>
              </w:rPr>
              <w:t xml:space="preserve">COA Linguistic Validation Status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panel on their QUALITY tab in the admin portal. </w:t>
            </w:r>
            <w:r>
              <w:rPr>
                <w:b/>
                <w:bCs/>
                <w:color w:val="334155"/>
                <w:sz w:val="20"/>
                <w:szCs w:val="20"/>
              </w:rPr>
              <w:t xml:space="preserve">Result: PASS.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SOP</w:t>
            </w:r>
          </w:p>
        </w:tc>
        <w:tc>
          <w:tcPr>
            <w:tcW w:type="dxa" w:w="66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SOP-019 — Qualification of Linguists for COA Linguistic Validation</w:t>
            </w:r>
          </w:p>
        </w:tc>
      </w:tr>
      <w:tr>
        <w:tc>
          <w:tcPr>
            <w:tcW w:type="dxa" w:w="27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Version / status</w:t>
            </w:r>
          </w:p>
        </w:tc>
        <w:tc>
          <w:tcPr>
            <w:tcW w:type="dxa" w:w="66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v3 active (effective 25 June 2026) — cross-references corrected: §1 SOP-003 (vendor qualification), §5 SOP-014 (data security)</w:t>
            </w:r>
          </w:p>
        </w:tc>
      </w:tr>
      <w:tr>
        <w:tc>
          <w:tcPr>
            <w:tcW w:type="dxa" w:w="27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Where</w:t>
            </w:r>
          </w:p>
        </w:tc>
        <w:tc>
          <w:tcPr>
            <w:tcW w:type="dxa" w:w="66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Portal → QUALITY → SOPs;  and a vendor's QUALITY tab in Admin → Vendors</w:t>
            </w:r>
          </w:p>
        </w:tc>
      </w:tr>
      <w:tr>
        <w:tc>
          <w:tcPr>
            <w:tcW w:type="dxa" w:w="27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Owner</w:t>
            </w:r>
          </w:p>
        </w:tc>
        <w:tc>
          <w:tcPr>
            <w:tcW w:type="dxa" w:w="66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Acting Quality Manager / Managing Director</w:t>
            </w:r>
          </w:p>
        </w:tc>
      </w:tr>
      <w:tr>
        <w:tc>
          <w:tcPr>
            <w:tcW w:type="dxa" w:w="27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ISO / regulation</w:t>
            </w:r>
          </w:p>
        </w:tc>
        <w:tc>
          <w:tcPr>
            <w:tcW w:type="dxa" w:w="66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ISO 17100:2015 §3.1.4, §6.1; ISPOR COA Linguistic Validation guidelines; ICH GCP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Walkthrough — confirm it in the live system</w:t>
      </w:r>
    </w:p>
    <w:p>
      <w:pPr>
        <w:pStyle w:val="Heading2"/>
      </w:pPr>
      <w:r>
        <w:t xml:space="preserve">1.  Open SOP-019 and read the five qualification gates (§2)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Log in to </w:t>
      </w:r>
      <w:r>
        <w:rPr>
          <w:b/>
          <w:bCs/>
        </w:rPr>
        <w:t xml:space="preserve">portal.cethos.com</w:t>
      </w:r>
      <w:r>
        <w:rPr>
          <w:b w:val="false"/>
          <w:bCs w:val="false"/>
        </w:rPr>
        <w:t xml:space="preserve">. Left menu </w:t>
      </w:r>
      <w:r>
        <w:rPr>
          <w:b/>
          <w:bCs/>
        </w:rPr>
        <w:t xml:space="preserve">QUALITY → SOPs</w:t>
      </w:r>
      <w:r>
        <w:rPr>
          <w:b w:val="false"/>
          <w:bCs w:val="false"/>
        </w:rPr>
        <w:t xml:space="preserve">, open </w:t>
      </w:r>
      <w:r>
        <w:rPr>
          <w:b/>
          <w:bCs/>
        </w:rPr>
        <w:t xml:space="preserve">SOP-019 — COA Linguistic Validation Qualification</w:t>
      </w:r>
      <w:r>
        <w:rPr>
          <w:b w:val="false"/>
          <w:bCs w:val="false"/>
        </w:rPr>
        <w:t xml:space="preserve">. Confirm it is </w:t>
      </w:r>
      <w:r>
        <w:rPr>
          <w:b/>
          <w:bCs/>
        </w:rPr>
        <w:t xml:space="preserve">active v3 (25 Jun 2026)</w:t>
      </w:r>
      <w:r>
        <w:rPr>
          <w:b w:val="false"/>
          <w:bCs w:val="false"/>
        </w:rPr>
        <w:t xml:space="preserve">. Read §2 — five gates must ALL be met: (1) role qualification (ISO §3.1.4, Tier-2 evidence); (2) subject-matter qualification (Life Sciences or clinical sub-area); (3) active NDA; (4) COA LV training on record; (5) competence assessed (≥90% pass, graded sample). Also verify §1 cross-references SOP-003 and §5 references SOP-014.</w:t>
      </w:r>
    </w:p>
    <w:p>
      <w:pPr>
        <w:spacing w:after="3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1-open-sop-019-and-read-the-five-qualification-gates-2.png" descr="s1-open-sop-019-and-read-the-five-qualification-gates-2.png" title="s1-open-sop-019-and-read-the-five-qualification-gates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7"/>
          <w:szCs w:val="17"/>
        </w:rPr>
        <w:t xml:space="preserve">SOP-019 — COA LV Qualification — v3 active (25 Jun 2026)</w:t>
      </w:r>
    </w:p>
    <w:p>
      <w:pPr>
        <w:pStyle w:val="Heading2"/>
      </w:pPr>
      <w:r>
        <w:t xml:space="preserve">2.  Confirm a COA-qualified vendor shows the correct portal status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In the admin portal, search for a COA-qualified vendor (e.g. from the IQVIA COA roster). Open their profile → </w:t>
      </w:r>
      <w:r>
        <w:rPr>
          <w:b/>
          <w:bCs/>
        </w:rPr>
        <w:t xml:space="preserve">QUALITY</w:t>
      </w:r>
      <w:r>
        <w:rPr>
          <w:b w:val="false"/>
          <w:bCs w:val="false"/>
        </w:rPr>
        <w:t xml:space="preserve"> tab. Confirm the </w:t>
      </w:r>
      <w:r>
        <w:rPr>
          <w:b/>
          <w:bCs/>
        </w:rPr>
        <w:t xml:space="preserve">COA Linguistic Validation Status</w:t>
      </w:r>
      <w:r>
        <w:rPr>
          <w:b w:val="false"/>
          <w:bCs w:val="false"/>
        </w:rPr>
        <w:t xml:space="preserve"> panel appears near the top: a </w:t>
      </w:r>
      <w:r>
        <w:rPr>
          <w:b/>
          <w:bCs/>
        </w:rPr>
        <w:t xml:space="preserve">green</w:t>
      </w:r>
      <w:r>
        <w:rPr>
          <w:b w:val="false"/>
          <w:bCs w:val="false"/>
        </w:rPr>
        <w:t xml:space="preserve"> panel confirms an active COA-qualifying role or subject-matter qualification in the QMS. </w:t>
      </w:r>
      <w:r>
        <w:rPr>
          <w:b/>
          <w:bCs/>
        </w:rPr>
        <w:t xml:space="preserve">Amber</w:t>
      </w:r>
      <w:r>
        <w:rPr>
          <w:b w:val="false"/>
          <w:bCs w:val="false"/>
        </w:rPr>
        <w:t xml:space="preserve"> = qualifications under review. </w:t>
      </w:r>
      <w:r>
        <w:rPr>
          <w:b/>
          <w:bCs/>
        </w:rPr>
        <w:t xml:space="preserve">Grey</w:t>
      </w:r>
      <w:r>
        <w:rPr>
          <w:b w:val="false"/>
          <w:bCs w:val="false"/>
        </w:rPr>
        <w:t xml:space="preserve"> = none. The panel lists the qualifying qualification(s) and language pair.</w:t>
      </w:r>
    </w:p>
    <w:p>
      <w:pPr>
        <w:spacing w:after="3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2-confirm-a-coa-qualified-vendor-shows-the-correct-portal-status.png" descr="s2-confirm-a-coa-qualified-vendor-shows-the-correct-portal-status.png" title="s2-confirm-a-coa-qualified-vendor-shows-the-correct-portal-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7"/>
          <w:szCs w:val="17"/>
        </w:rPr>
        <w:t xml:space="preserve">Vendor QUALITY tab — COA Linguistic Validation Status panel (green = fully qualified)</w:t>
      </w:r>
    </w:p>
    <w:p>
      <w:pPr>
        <w:pStyle w:val="Heading1"/>
      </w:pPr>
      <w:r>
        <w:t xml:space="preserve">Your result</w:t>
      </w:r>
    </w:p>
    <w:p>
      <w:pPr>
        <w:spacing w:after="120"/>
      </w:pPr>
      <w:r>
        <w:rPr>
          <w:b w:val="false"/>
          <w:bCs w:val="false"/>
        </w:rPr>
        <w:t xml:space="preserve">If everything matched, tick </w:t>
      </w:r>
      <w:r>
        <w:rPr>
          <w:b/>
          <w:bCs/>
        </w:rPr>
        <w:t xml:space="preserve">Matches</w:t>
      </w:r>
      <w:r>
        <w:rPr>
          <w:b w:val="false"/>
          <w:bCs w:val="false"/>
        </w:rPr>
        <w:t xml:space="preserve">. If anything was different or missing, tick </w:t>
      </w:r>
      <w:r>
        <w:rPr>
          <w:b/>
          <w:bCs/>
        </w:rPr>
        <w:t xml:space="preserve">Doesn't match</w:t>
      </w:r>
      <w:r>
        <w:rPr>
          <w:b w:val="false"/>
          <w:bCs w:val="false"/>
        </w:rPr>
        <w:t xml:space="preserve"> and describe it — that's the most valuable part for Raminder.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9DA0" w:sz="4"/>
              <w:left w:val="single" w:color="0F9DA0" w:sz="24"/>
              <w:bottom w:val="single" w:color="0F9DA0" w:sz="4"/>
              <w:right w:val="single" w:color="0F9DA0" w:sz="4"/>
            </w:tcBorders>
            <w:shd w:fill="F8FAFC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b/>
                <w:bCs/>
                <w:color w:val="0F9DA0"/>
                <w:sz w:val="22"/>
                <w:szCs w:val="22"/>
              </w:rPr>
              <w:t xml:space="preserve">Your result (tick one)</w:t>
            </w:r>
          </w:p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[  ]  Matches — the SOP describes what I saw in the system.</w:t>
            </w:r>
          </w:p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[  ]  Doesn't match — I found a difference (describe it below).</w:t>
            </w:r>
          </w:p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[  ]  Refer to Raminder — I'm not sure / it's a technical point.</w:t>
            </w:r>
          </w:p>
          <w:p>
            <w:pPr>
              <w:spacing w:after="80" w:before="8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Notes (write anything that didn't match):</w:t>
            </w:r>
          </w:p>
          <w:p>
            <w:pPr>
              <w:spacing w:after="80"/>
            </w:pPr>
            <w:r>
              <w:rPr>
                <w:color w:val="B9C2CC"/>
                <w:sz w:val="20"/>
                <w:szCs w:val="20"/>
              </w:rPr>
              <w:t xml:space="preserve">________________________________________________________________</w:t>
            </w:r>
          </w:p>
          <w:p>
            <w:pPr>
              <w:spacing w:after="80"/>
            </w:pPr>
            <w:r>
              <w:rPr>
                <w:color w:val="B9C2CC"/>
                <w:sz w:val="20"/>
                <w:szCs w:val="20"/>
              </w:rPr>
              <w:t xml:space="preserve">________________________________________________________________</w:t>
            </w:r>
          </w:p>
          <w:p>
            <w:pPr>
              <w:spacing w:before="120"/>
            </w:pPr>
            <w:r>
              <w:rPr>
                <w:color w:val="334155"/>
                <w:sz w:val="20"/>
                <w:szCs w:val="20"/>
              </w:rPr>
              <w:t xml:space="preserve">Reviewed by:  ____________________      Date:  ______________</w:t>
            </w:r>
          </w:p>
        </w:tc>
      </w:tr>
    </w:tbl>
    <w:p>
      <w:pPr>
        <w:spacing w:before="220"/>
      </w:pPr>
      <w:r>
        <w:rPr>
          <w:i/>
          <w:iCs/>
          <w:color w:val="64748B"/>
          <w:sz w:val="18"/>
          <w:szCs w:val="18"/>
        </w:rPr>
        <w:t xml:space="preserve">Screenshots are the live admin portal as of June 2026. Cethos is ISO 17100-aligned (not certified).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Cethos — SOP-019 Qualification of Linguists for COA Linguistic Validation · Verification Guide   ·   v1.0 (CTH-VRF-019)   · 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F9DA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cde41c52e3013dd885318e48d9a5090d2c1adaf.png"/><Relationship Id="rId9" Type="http://schemas.openxmlformats.org/officeDocument/2006/relationships/image" Target="media/e0f14e8b26b1d86d774c48727e54e4caad2f5859.png"/><Relationship Id="rId10" Type="http://schemas.openxmlformats.org/officeDocument/2006/relationships/image" Target="media/70a597ba256b6ce5c6260093cb081a034f62a97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2026-06-26T05:15:44.820Z</dcterms:created>
  <dcterms:modified xsi:type="dcterms:W3CDTF">2026-06-26T05:15:44.825Z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