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drawing>
          <wp:inline distT="0" distB="0" distL="0" distR="0">
            <wp:extent cx="1790700" cy="304800"/>
            <wp:effectExtent t="0" r="0" b="0" l="0"/>
            <wp:docPr id="1" name="logo" descr="Cethos logo" title="Ceth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60" w:before="0"/>
      </w:pPr>
      <w:r>
        <w:t xml:space="preserve">SOP-028 — Post-Delivery Client Review and Revision Rounds</w:t>
      </w:r>
    </w:p>
    <w:p>
      <w:pPr>
        <w:spacing w:after="120"/>
      </w:pPr>
      <w:r>
        <w:rPr>
          <w:b w:val="false"/>
          <w:bCs w:val="false"/>
          <w:color w:val="64748B"/>
          <w:sz w:val="22"/>
          <w:szCs w:val="22"/>
        </w:rPr>
        <w:t xml:space="preserve">Verification guide — confirm the SOP matches the live system </w:t>
      </w:r>
      <w:r>
        <w:rPr>
          <w:b/>
          <w:bCs/>
          <w:color w:val="64748B"/>
          <w:sz w:val="22"/>
          <w:szCs w:val="22"/>
        </w:rPr>
        <w:t xml:space="preserve">(portal.cethos.com/admin)</w:t>
      </w:r>
    </w:p>
    <w:p>
      <w:pPr>
        <w:spacing w:after="120"/>
      </w:pPr>
      <w:r>
        <w:rPr>
          <w:b/>
          <w:bCs/>
          <w:color w:val="64748B"/>
          <w:sz w:val="18"/>
          <w:szCs w:val="18"/>
        </w:rPr>
        <w:t xml:space="preserve">Reviewer: Fayza El Bezzari      ·      Version 1.0  ·  26 June 2026  ·  Doc CTH-VRF-028</w:t>
      </w:r>
    </w:p>
    <w:p>
      <w:pPr>
        <w:spacing w:after="120"/>
      </w:pPr>
      <w:r>
        <w:rPr>
          <w:b w:val="false"/>
          <w:bCs w:val="false"/>
        </w:rPr>
        <w:t xml:space="preserve">Use this guide to confirm that </w:t>
      </w:r>
      <w:r>
        <w:rPr>
          <w:b/>
          <w:bCs/>
        </w:rPr>
        <w:t xml:space="preserve">SOP-028 (Post-Delivery Client Review and Revision Rounds)</w:t>
      </w:r>
      <w:r>
        <w:rPr>
          <w:b w:val="false"/>
          <w:bCs w:val="false"/>
        </w:rPr>
        <w:t xml:space="preserve"> describes what the portal actually does, ahead of the IQVIA audit. Every step has a </w:t>
      </w:r>
      <w:r>
        <w:rPr>
          <w:b/>
          <w:bCs/>
        </w:rPr>
        <w:t xml:space="preserve">real screenshot of the live system</w:t>
      </w:r>
      <w:r>
        <w:rPr>
          <w:b w:val="false"/>
          <w:bCs w:val="false"/>
        </w:rPr>
        <w:t xml:space="preserve"> — you only read and confirm.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9DA0" w:sz="4"/>
              <w:left w:val="single" w:color="0F9DA0" w:sz="24"/>
              <w:bottom w:val="single" w:color="0F9DA0" w:sz="4"/>
              <w:right w:val="single" w:color="0F9DA0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9DA0"/>
                <w:sz w:val="20"/>
                <w:szCs w:val="20"/>
              </w:rPr>
              <w:t xml:space="preserve">Golden rule</w:t>
            </w:r>
          </w:p>
          <w:p>
            <w:pPr>
              <w:spacing w:after="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Look only.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You are confirming the procedure is published and that a real order follows it. If something doesn't match, write it in the Notes box.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2340" w:sz="4"/>
              <w:left w:val="single" w:color="0C2340" w:sz="24"/>
              <w:bottom w:val="single" w:color="0C2340" w:sz="4"/>
              <w:right w:val="single" w:color="0C2340" w:sz="4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C2340"/>
                <w:sz w:val="20"/>
                <w:szCs w:val="20"/>
              </w:rPr>
              <w:t xml:space="preserve">What we already checked (validation summary)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Validated on the live portal. SOP-028 governs how client review/changes after delivery are handled: (a) feedback is logged in </w:t>
            </w:r>
            <w:r>
              <w:rPr>
                <w:b/>
                <w:bCs/>
                <w:color w:val="334155"/>
                <w:sz w:val="20"/>
                <w:szCs w:val="20"/>
              </w:rPr>
              <w:t xml:space="preserve">Client Communications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on the order record (§6.1 record, §3); (b) affected steps are re-opened for revision; (c) the vendor delivers a new version (v2, v3…); (d) QA re-verifies; (e) Final Deliverable re-issued. Scope rule: in-scope correction on a </w:t>
            </w:r>
            <w:r>
              <w:rPr>
                <w:b/>
                <w:bCs/>
                <w:color w:val="334155"/>
                <w:sz w:val="20"/>
                <w:szCs w:val="20"/>
              </w:rPr>
              <w:t xml:space="preserve">not-yet-invoiced</w:t>
            </w: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 order stays on the same order; if already invoiced or work is new/expanded, a new order under the same project. Each revision round carries its own vendor payable and, when chargeable, a supplementary customer invoice.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Confirmed on a real order with a revision round. The client feedback appears in the communication log; the revised deliverable is versioned (v1 preserved, v2 alongside). </w:t>
            </w:r>
            <w:r>
              <w:rPr>
                <w:b/>
                <w:bCs/>
                <w:color w:val="334155"/>
                <w:sz w:val="20"/>
                <w:szCs w:val="20"/>
              </w:rPr>
              <w:t xml:space="preserve">Result: PASS.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34155"/>
                <w:sz w:val="19"/>
                <w:szCs w:val="19"/>
              </w:rPr>
              <w:t xml:space="preserve">SOP</w:t>
            </w:r>
          </w:p>
        </w:tc>
        <w:tc>
          <w:tcPr>
            <w:tcW w:type="dxa" w:w="666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SOP-028 — Post-Delivery Client Review and Revision Rounds</w:t>
            </w:r>
          </w:p>
        </w:tc>
      </w:tr>
      <w:tr>
        <w:tc>
          <w:tcPr>
            <w:tcW w:type="dxa" w:w="270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34155"/>
                <w:sz w:val="19"/>
                <w:szCs w:val="19"/>
              </w:rPr>
              <w:t xml:space="preserve">Version / status</w:t>
            </w:r>
          </w:p>
        </w:tc>
        <w:tc>
          <w:tcPr>
            <w:tcW w:type="dxa" w:w="666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v2 active (effective 25 June 2026) — cross-references corrected: SOP-011 (CAPA), production SOPs updated to current numbering</w:t>
            </w:r>
          </w:p>
        </w:tc>
      </w:tr>
      <w:tr>
        <w:tc>
          <w:tcPr>
            <w:tcW w:type="dxa" w:w="270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34155"/>
                <w:sz w:val="19"/>
                <w:szCs w:val="19"/>
              </w:rPr>
              <w:t xml:space="preserve">Where</w:t>
            </w:r>
          </w:p>
        </w:tc>
        <w:tc>
          <w:tcPr>
            <w:tcW w:type="dxa" w:w="666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Portal → QUALITY → SOPs;  and any order with a post-delivery revision round</w:t>
            </w:r>
          </w:p>
        </w:tc>
      </w:tr>
      <w:tr>
        <w:tc>
          <w:tcPr>
            <w:tcW w:type="dxa" w:w="270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34155"/>
                <w:sz w:val="19"/>
                <w:szCs w:val="19"/>
              </w:rPr>
              <w:t xml:space="preserve">Owner</w:t>
            </w:r>
          </w:p>
        </w:tc>
        <w:tc>
          <w:tcPr>
            <w:tcW w:type="dxa" w:w="666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Production / Operations</w:t>
            </w:r>
          </w:p>
        </w:tc>
      </w:tr>
      <w:tr>
        <w:tc>
          <w:tcPr>
            <w:tcW w:type="dxa" w:w="270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34155"/>
                <w:sz w:val="19"/>
                <w:szCs w:val="19"/>
              </w:rPr>
              <w:t xml:space="preserve">ISO / regulation</w:t>
            </w:r>
          </w:p>
        </w:tc>
        <w:tc>
          <w:tcPr>
            <w:tcW w:type="dxa" w:w="6660"/>
            <w:tcBorders>
              <w:top w:val="single" w:color="D5DBE2" w:sz="1"/>
              <w:left w:val="single" w:color="D5DBE2" w:sz="1"/>
              <w:bottom w:val="single" w:color="D5DBE2" w:sz="1"/>
              <w:right w:val="single" w:color="D5DB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ISO 17100:2015 §5.3.5 (review), §6.1 (client communication); ISO 9001:2015 §8.5.3 (property of customers)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Walkthrough — confirm it in the live system</w:t>
      </w:r>
    </w:p>
    <w:p>
      <w:pPr>
        <w:pStyle w:val="Heading2"/>
      </w:pPr>
      <w:r>
        <w:t xml:space="preserve">1.  Open SOP-028 and read the revision-round procedure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Log in to </w:t>
      </w:r>
      <w:r>
        <w:rPr>
          <w:b/>
          <w:bCs/>
        </w:rPr>
        <w:t xml:space="preserve">portal.cethos.com</w:t>
      </w:r>
      <w:r>
        <w:rPr>
          <w:b w:val="false"/>
          <w:bCs w:val="false"/>
        </w:rPr>
        <w:t xml:space="preserve">. Left menu </w:t>
      </w:r>
      <w:r>
        <w:rPr>
          <w:b/>
          <w:bCs/>
        </w:rPr>
        <w:t xml:space="preserve">QUALITY → SOPs</w:t>
      </w:r>
      <w:r>
        <w:rPr>
          <w:b w:val="false"/>
          <w:bCs w:val="false"/>
        </w:rPr>
        <w:t xml:space="preserve">, open </w:t>
      </w:r>
      <w:r>
        <w:rPr>
          <w:b/>
          <w:bCs/>
        </w:rPr>
        <w:t xml:space="preserve">SOP-028 — Post-Delivery Client Review &amp; Revision Rounds</w:t>
      </w:r>
      <w:r>
        <w:rPr>
          <w:b w:val="false"/>
          <w:bCs w:val="false"/>
        </w:rPr>
        <w:t xml:space="preserve">. Confirm it is </w:t>
      </w:r>
      <w:r>
        <w:rPr>
          <w:b/>
          <w:bCs/>
        </w:rPr>
        <w:t xml:space="preserve">active</w:t>
      </w:r>
      <w:r>
        <w:rPr>
          <w:b w:val="false"/>
          <w:bCs w:val="false"/>
        </w:rPr>
        <w:t xml:space="preserve"> (v1, 26 Jun 2026). Read §3 (Procedure) — the key steps are: (1) log the client feedback in Client Communications on the order; (2) re-open the affected step(s); (3) vendor delivers v2; (4) QA re-verifies v2; (5) Final Deliverable re-issued v2. Note: v1 is never overwritten — both versions are retained for audit.</w:t>
      </w:r>
    </w:p>
    <w:p>
      <w:pPr>
        <w:spacing w:after="30" w:before="1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1-open-sop-028-and-read-the-revision-round-procedure.png" descr="s1-open-sop-028-and-read-the-revision-round-procedure.png" title="s1-open-sop-028-and-read-the-revision-round-proced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7"/>
          <w:szCs w:val="17"/>
        </w:rPr>
        <w:t xml:space="preserve">SOP-028 Post-Delivery Client Review &amp; Revision Rounds — v1 active</w:t>
      </w:r>
    </w:p>
    <w:p>
      <w:pPr>
        <w:pStyle w:val="Heading2"/>
      </w:pPr>
      <w:r>
        <w:t xml:space="preserve">2.  Confirm scope rule and billing (§4 and §5)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Still on SOP-028. Read §4 (Scope rule) — if the order is </w:t>
      </w:r>
      <w:r>
        <w:rPr>
          <w:b/>
          <w:bCs/>
        </w:rPr>
        <w:t xml:space="preserve">already invoiced/Paid</w:t>
      </w:r>
      <w:r>
        <w:rPr>
          <w:b w:val="false"/>
          <w:bCs w:val="false"/>
        </w:rPr>
        <w:t xml:space="preserve"> OR the work is new/expanded, a </w:t>
      </w:r>
      <w:r>
        <w:rPr>
          <w:b/>
          <w:bCs/>
        </w:rPr>
        <w:t xml:space="preserve">new order</w:t>
      </w:r>
      <w:r>
        <w:rPr>
          <w:b w:val="false"/>
          <w:bCs w:val="false"/>
        </w:rPr>
        <w:t xml:space="preserve"> is created under the same project (PRJ-…). Read §5 (Billing) — each round carries its own `vendor_payable` (accept the vendor invoice) and, when chargeable, a new receivable + </w:t>
      </w:r>
      <w:r>
        <w:rPr>
          <w:b/>
          <w:bCs/>
        </w:rPr>
        <w:t xml:space="preserve">supplementary customer invoice</w:t>
      </w:r>
      <w:r>
        <w:rPr>
          <w:b w:val="false"/>
          <w:bCs w:val="false"/>
        </w:rPr>
        <w:t xml:space="preserve"> referencing the original. The portal supports multiple invoices and payables per order.</w:t>
      </w:r>
    </w:p>
    <w:p>
      <w:pPr>
        <w:spacing w:after="30" w:before="1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2-confirm-scope-rule-and-billing-4-and-5.png" descr="s2-confirm-scope-rule-and-billing-4-and-5.png" title="s2-confirm-scope-rule-and-billing-4-and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7"/>
          <w:szCs w:val="17"/>
        </w:rPr>
        <w:t xml:space="preserve">SOP-028 §4 scope rule + §5 billing — invoiced orders get a new order; supplementary invoices allowed</w:t>
      </w:r>
    </w:p>
    <w:p>
      <w:pPr>
        <w:pStyle w:val="Heading1"/>
      </w:pPr>
      <w:r>
        <w:t xml:space="preserve">Your result</w:t>
      </w:r>
    </w:p>
    <w:p>
      <w:pPr>
        <w:spacing w:after="120"/>
      </w:pPr>
      <w:r>
        <w:rPr>
          <w:b w:val="false"/>
          <w:bCs w:val="false"/>
        </w:rPr>
        <w:t xml:space="preserve">If everything matched, tick </w:t>
      </w:r>
      <w:r>
        <w:rPr>
          <w:b/>
          <w:bCs/>
        </w:rPr>
        <w:t xml:space="preserve">Matches</w:t>
      </w:r>
      <w:r>
        <w:rPr>
          <w:b w:val="false"/>
          <w:bCs w:val="false"/>
        </w:rPr>
        <w:t xml:space="preserve">. If anything was different or missing, tick </w:t>
      </w:r>
      <w:r>
        <w:rPr>
          <w:b/>
          <w:bCs/>
        </w:rPr>
        <w:t xml:space="preserve">Doesn't match</w:t>
      </w:r>
      <w:r>
        <w:rPr>
          <w:b w:val="false"/>
          <w:bCs w:val="false"/>
        </w:rPr>
        <w:t xml:space="preserve"> and describe it — that's the most valuable part for Raminder.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9DA0" w:sz="4"/>
              <w:left w:val="single" w:color="0F9DA0" w:sz="24"/>
              <w:bottom w:val="single" w:color="0F9DA0" w:sz="4"/>
              <w:right w:val="single" w:color="0F9DA0" w:sz="4"/>
            </w:tcBorders>
            <w:shd w:fill="F8FAFC" w:val="clear"/>
            <w:tcMar>
              <w:top w:type="dxa" w:w="160"/>
              <w:left w:type="dxa" w:w="22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b/>
                <w:bCs/>
                <w:color w:val="0F9DA0"/>
                <w:sz w:val="22"/>
                <w:szCs w:val="22"/>
              </w:rPr>
              <w:t xml:space="preserve">Your result (tick one)</w:t>
            </w:r>
          </w:p>
          <w:p>
            <w:pPr>
              <w:spacing w:after="80"/>
            </w:pPr>
            <w:r>
              <w:rPr>
                <w:color w:val="334155"/>
                <w:sz w:val="20"/>
                <w:szCs w:val="20"/>
              </w:rPr>
              <w:t xml:space="preserve">[  ]  Matches — the SOP describes what I saw in the system.</w:t>
            </w:r>
          </w:p>
          <w:p>
            <w:pPr>
              <w:spacing w:after="80"/>
            </w:pPr>
            <w:r>
              <w:rPr>
                <w:color w:val="334155"/>
                <w:sz w:val="20"/>
                <w:szCs w:val="20"/>
              </w:rPr>
              <w:t xml:space="preserve">[  ]  Doesn't match — I found a difference (describe it below).</w:t>
            </w:r>
          </w:p>
          <w:p>
            <w:pPr>
              <w:spacing w:after="80"/>
            </w:pPr>
            <w:r>
              <w:rPr>
                <w:color w:val="334155"/>
                <w:sz w:val="20"/>
                <w:szCs w:val="20"/>
              </w:rPr>
              <w:t xml:space="preserve">[  ]  Refer to Raminder — I'm not sure / it's a technical point.</w:t>
            </w:r>
          </w:p>
          <w:p>
            <w:pPr>
              <w:spacing w:after="80" w:before="8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Notes (write anything that didn't match):</w:t>
            </w:r>
          </w:p>
          <w:p>
            <w:pPr>
              <w:spacing w:after="80"/>
            </w:pPr>
            <w:r>
              <w:rPr>
                <w:color w:val="B9C2CC"/>
                <w:sz w:val="20"/>
                <w:szCs w:val="20"/>
              </w:rPr>
              <w:t xml:space="preserve">________________________________________________________________</w:t>
            </w:r>
          </w:p>
          <w:p>
            <w:pPr>
              <w:spacing w:after="80"/>
            </w:pPr>
            <w:r>
              <w:rPr>
                <w:color w:val="B9C2CC"/>
                <w:sz w:val="20"/>
                <w:szCs w:val="20"/>
              </w:rPr>
              <w:t xml:space="preserve">________________________________________________________________</w:t>
            </w:r>
          </w:p>
          <w:p>
            <w:pPr>
              <w:spacing w:before="120"/>
            </w:pPr>
            <w:r>
              <w:rPr>
                <w:color w:val="334155"/>
                <w:sz w:val="20"/>
                <w:szCs w:val="20"/>
              </w:rPr>
              <w:t xml:space="preserve">Reviewed by:  ____________________      Date:  ______________</w:t>
            </w:r>
          </w:p>
        </w:tc>
      </w:tr>
    </w:tbl>
    <w:p>
      <w:pPr>
        <w:spacing w:before="220"/>
      </w:pPr>
      <w:r>
        <w:rPr>
          <w:i/>
          <w:iCs/>
          <w:color w:val="64748B"/>
          <w:sz w:val="18"/>
          <w:szCs w:val="18"/>
        </w:rPr>
        <w:t xml:space="preserve">Screenshots are the live admin portal as of June 2026. Cethos is ISO 17100-aligned (not certified).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Cethos — SOP-028 Post-Delivery Client Review and Revision Rounds · Verification Guide   ·   v1.0 (CTH-VRF-028)   ·  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F9DA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cde41c52e3013dd885318e48d9a5090d2c1adaf.png"/><Relationship Id="rId9" Type="http://schemas.openxmlformats.org/officeDocument/2006/relationships/image" Target="media/d2d4dcc23b93f3e38825af40aaf41f8126e46be8.png"/><Relationship Id="rId10" Type="http://schemas.openxmlformats.org/officeDocument/2006/relationships/image" Target="media/deb93b49ce55244b06ccf96883c514cfff6fe3a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2026-06-26T05:15:44.965Z</dcterms:created>
  <dcterms:modified xsi:type="dcterms:W3CDTF">2026-06-26T05:15:44.966Z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