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0" w:name="terms"/>
      <w:bookmarkStart w:id="1" w:name="_GoBack"/>
      <w:bookmarkEnd w:id="0"/>
      <w:bookmarkEnd w:id="1"/>
      <w:r w:rsidRPr="00AA4822">
        <w:rPr>
          <w:rFonts w:ascii="Arial" w:eastAsia="Times New Roman" w:hAnsi="Arial" w:cs="Arial"/>
          <w:b/>
          <w:bCs/>
          <w:color w:val="444444"/>
          <w:sz w:val="21"/>
          <w:szCs w:val="21"/>
        </w:rPr>
        <w:t>TERMS AND CONDITIONS</w:t>
      </w:r>
      <w:r w:rsidRPr="00AA4822">
        <w:rPr>
          <w:rFonts w:ascii="Arial" w:eastAsia="Times New Roman" w:hAnsi="Arial" w:cs="Arial"/>
          <w:color w:val="444444"/>
          <w:sz w:val="21"/>
          <w:szCs w:val="21"/>
        </w:rPr>
        <w:br/>
      </w:r>
      <w:bookmarkStart w:id="2" w:name="section0"/>
      <w:bookmarkEnd w:id="2"/>
      <w:r w:rsidRPr="00AA4822">
        <w:rPr>
          <w:rFonts w:ascii="Arial" w:eastAsia="Times New Roman" w:hAnsi="Arial" w:cs="Arial"/>
          <w:b/>
          <w:bCs/>
          <w:color w:val="444444"/>
          <w:sz w:val="21"/>
          <w:szCs w:val="21"/>
        </w:rPr>
        <w:t>0. Definitions.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“This License” refers to version 3 of the GNU General Public License.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“Copyright” also means copyright-like laws that apply to other kinds of works, such as semiconductor masks.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Program” refers to any copyrightable work licensed under this License. Each licensee is addressed as “you”. “Licensees” and “recipients” may be individuals or organizations.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“covered work” means either the unmodified Program or a work based on the Program.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To “convey” a work means any kind of propagation that enables other parties to make or receive copies. Mere interaction with a user through a computer network, with no transfer of a copy, is not conveying.</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3" w:name="section1"/>
      <w:bookmarkEnd w:id="3"/>
      <w:r w:rsidRPr="00AA4822">
        <w:rPr>
          <w:rFonts w:ascii="Arial" w:eastAsia="Times New Roman" w:hAnsi="Arial" w:cs="Arial"/>
          <w:b/>
          <w:bCs/>
          <w:color w:val="444444"/>
          <w:sz w:val="21"/>
          <w:szCs w:val="21"/>
        </w:rPr>
        <w:t>1. Source Code.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“source code” for a work means the preferred form of the work for making modifications to it. “Object code” means any non-source form of a 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w:t>
      </w:r>
      <w:r w:rsidRPr="00AA4822">
        <w:rPr>
          <w:rFonts w:ascii="Arial" w:eastAsia="Times New Roman" w:hAnsi="Arial" w:cs="Arial"/>
          <w:color w:val="444444"/>
          <w:sz w:val="21"/>
          <w:szCs w:val="21"/>
        </w:rPr>
        <w:lastRenderedPageBreak/>
        <w:t>system, and so on) of the specific operating system (if any) on which the executable work runs, or a compiler used to produce the work, or an object code interpreter used to run it.</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Corresponding Source need not include anything that users can regenerate automatically from other parts of the Corresponding Source.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Corresponding Source for a work in source code form is that same 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4" w:name="section2"/>
      <w:bookmarkEnd w:id="4"/>
      <w:r w:rsidRPr="00AA4822">
        <w:rPr>
          <w:rFonts w:ascii="Arial" w:eastAsia="Times New Roman" w:hAnsi="Arial" w:cs="Arial"/>
          <w:b/>
          <w:bCs/>
          <w:color w:val="444444"/>
          <w:sz w:val="21"/>
          <w:szCs w:val="21"/>
        </w:rPr>
        <w:t>2. Basic Permissions.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Conveying under any other circumstances is permitted solely under the conditions stated below. Sublicensing is not allowed; section 10 makes it unnecessary.</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5" w:name="section3"/>
      <w:bookmarkEnd w:id="5"/>
      <w:r w:rsidRPr="00AA4822">
        <w:rPr>
          <w:rFonts w:ascii="Arial" w:eastAsia="Times New Roman" w:hAnsi="Arial" w:cs="Arial"/>
          <w:b/>
          <w:bCs/>
          <w:color w:val="444444"/>
          <w:sz w:val="21"/>
          <w:szCs w:val="21"/>
        </w:rPr>
        <w:t xml:space="preserve">3. Protecting Users' Legal Rights </w:t>
      </w:r>
      <w:proofErr w:type="gramStart"/>
      <w:r w:rsidRPr="00AA4822">
        <w:rPr>
          <w:rFonts w:ascii="Arial" w:eastAsia="Times New Roman" w:hAnsi="Arial" w:cs="Arial"/>
          <w:b/>
          <w:bCs/>
          <w:color w:val="444444"/>
          <w:sz w:val="21"/>
          <w:szCs w:val="21"/>
        </w:rPr>
        <w:t>From</w:t>
      </w:r>
      <w:proofErr w:type="gramEnd"/>
      <w:r w:rsidRPr="00AA4822">
        <w:rPr>
          <w:rFonts w:ascii="Arial" w:eastAsia="Times New Roman" w:hAnsi="Arial" w:cs="Arial"/>
          <w:b/>
          <w:bCs/>
          <w:color w:val="444444"/>
          <w:sz w:val="21"/>
          <w:szCs w:val="21"/>
        </w:rPr>
        <w:t xml:space="preserve"> Anti-Circumvention Law.</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6" w:name="section4"/>
      <w:bookmarkEnd w:id="6"/>
      <w:r w:rsidRPr="00AA4822">
        <w:rPr>
          <w:rFonts w:ascii="Arial" w:eastAsia="Times New Roman" w:hAnsi="Arial" w:cs="Arial"/>
          <w:b/>
          <w:bCs/>
          <w:color w:val="444444"/>
          <w:sz w:val="21"/>
          <w:szCs w:val="21"/>
        </w:rPr>
        <w:t>4. Conveying Verbatim Copies.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charge any price or no price for each copy that you convey, and you may offer support or warranty protection for a fee.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7" w:name="section5"/>
      <w:bookmarkEnd w:id="7"/>
      <w:r w:rsidRPr="00AA4822">
        <w:rPr>
          <w:rFonts w:ascii="Arial" w:eastAsia="Times New Roman" w:hAnsi="Arial" w:cs="Arial"/>
          <w:b/>
          <w:bCs/>
          <w:color w:val="444444"/>
          <w:sz w:val="21"/>
          <w:szCs w:val="21"/>
        </w:rPr>
        <w:t>5. Conveying Modified Source Versions.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convey a work based on the Program, or the modifications to produce it from the Program, in the form of source code under the terms of section 4, provided that you also meet all of these conditions:</w:t>
      </w:r>
    </w:p>
    <w:p w:rsidR="00AA4822" w:rsidRPr="00AA4822" w:rsidRDefault="00AA4822" w:rsidP="00AA4822">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The work must carry prominent notices stating that you modified it, and giving a relevant date.</w:t>
      </w:r>
    </w:p>
    <w:p w:rsidR="00AA4822" w:rsidRPr="00AA4822" w:rsidRDefault="00AA4822" w:rsidP="00AA4822">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b) The work must carry prominent notices stating that it is released under this License and any conditions added under section 7. This requirement modifies the requirement in section 4 to “keep intact all notices”.</w:t>
      </w:r>
    </w:p>
    <w:p w:rsidR="00AA4822" w:rsidRPr="00AA4822" w:rsidRDefault="00AA4822" w:rsidP="00AA4822">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AA4822" w:rsidRPr="00AA4822" w:rsidRDefault="00AA4822" w:rsidP="00AA4822">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8" w:name="section6"/>
      <w:bookmarkEnd w:id="8"/>
      <w:r w:rsidRPr="00AA4822">
        <w:rPr>
          <w:rFonts w:ascii="Arial" w:eastAsia="Times New Roman" w:hAnsi="Arial" w:cs="Arial"/>
          <w:b/>
          <w:bCs/>
          <w:color w:val="444444"/>
          <w:sz w:val="21"/>
          <w:szCs w:val="21"/>
        </w:rPr>
        <w:t>6. Conveying Non-Source Forms.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convey a covered work in object code form under the terms of sections 4 and 5, provided that you also convey the machine-readable Corresponding Source under the terms of this License, in one of these ways:</w:t>
      </w:r>
    </w:p>
    <w:p w:rsidR="00AA4822" w:rsidRPr="00AA4822" w:rsidRDefault="00AA4822" w:rsidP="00AA4822">
      <w:pPr>
        <w:numPr>
          <w:ilvl w:val="0"/>
          <w:numId w:val="2"/>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rsidR="00AA4822" w:rsidRPr="00AA4822" w:rsidRDefault="00AA4822" w:rsidP="00AA4822">
      <w:pPr>
        <w:numPr>
          <w:ilvl w:val="0"/>
          <w:numId w:val="2"/>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AA4822" w:rsidRPr="00AA4822" w:rsidRDefault="00AA4822" w:rsidP="00AA4822">
      <w:pPr>
        <w:numPr>
          <w:ilvl w:val="0"/>
          <w:numId w:val="2"/>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 xml:space="preserve">c) Convey individual copies of the object code with a copy of the written offer to provide the Corresponding Source. This alternative is allowed only occasionally and </w:t>
      </w:r>
      <w:proofErr w:type="spellStart"/>
      <w:r w:rsidRPr="00AA4822">
        <w:rPr>
          <w:rFonts w:ascii="Arial" w:eastAsia="Times New Roman" w:hAnsi="Arial" w:cs="Arial"/>
          <w:color w:val="444444"/>
          <w:sz w:val="21"/>
          <w:szCs w:val="21"/>
        </w:rPr>
        <w:t>noncommercially</w:t>
      </w:r>
      <w:proofErr w:type="spellEnd"/>
      <w:r w:rsidRPr="00AA4822">
        <w:rPr>
          <w:rFonts w:ascii="Arial" w:eastAsia="Times New Roman" w:hAnsi="Arial" w:cs="Arial"/>
          <w:color w:val="444444"/>
          <w:sz w:val="21"/>
          <w:szCs w:val="21"/>
        </w:rPr>
        <w:t>, and only if you received the object code with such an offer, in accord with subsection 6b.</w:t>
      </w:r>
    </w:p>
    <w:p w:rsidR="00AA4822" w:rsidRPr="00AA4822" w:rsidRDefault="00AA4822" w:rsidP="00AA4822">
      <w:pPr>
        <w:numPr>
          <w:ilvl w:val="0"/>
          <w:numId w:val="2"/>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AA4822" w:rsidRPr="00AA4822" w:rsidRDefault="00AA4822" w:rsidP="00AA4822">
      <w:pPr>
        <w:numPr>
          <w:ilvl w:val="0"/>
          <w:numId w:val="2"/>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separable portion of the object code, whose source code is excluded from the Corresponding Source as a System Library, need not be included in conveying the object code 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9" w:name="section7"/>
      <w:bookmarkEnd w:id="9"/>
      <w:r w:rsidRPr="00AA4822">
        <w:rPr>
          <w:rFonts w:ascii="Arial" w:eastAsia="Times New Roman" w:hAnsi="Arial" w:cs="Arial"/>
          <w:b/>
          <w:bCs/>
          <w:color w:val="444444"/>
          <w:sz w:val="21"/>
          <w:szCs w:val="21"/>
        </w:rPr>
        <w:t>7. Additional Terms.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Notwithstanding any other provision of this License, for material you add to a covered work, you may (if authorized by the copyright holders of that material) supplement the terms of this License with terms:</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Disclaiming warranty or limiting liability differently from the terms of sections 15 and 16 of this License; or</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b) Requiring preservation of specified reasonable legal notices or author attributions in that material or in the Appropriate Legal Notices displayed by works containing it; or</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c) Prohibiting misrepresentation of the origin of that material, or requiring that modified versions of such material be marked in reasonable ways as different from the original version; or</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d) Limiting the use for publicity purposes of names of licensors or authors of the material; or</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 Declining to grant rights under trademark law for use of some trade names, trademarks, or service marks; or</w:t>
      </w:r>
    </w:p>
    <w:p w:rsidR="00AA4822" w:rsidRPr="00AA4822" w:rsidRDefault="00AA4822" w:rsidP="00AA4822">
      <w:pPr>
        <w:numPr>
          <w:ilvl w:val="0"/>
          <w:numId w:val="3"/>
        </w:numPr>
        <w:shd w:val="clear" w:color="auto" w:fill="FCFCFC"/>
        <w:spacing w:before="100" w:beforeAutospacing="1" w:after="100" w:afterAutospacing="1"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Additional terms, permissive or non-permissive, may be stated in the form of a separately written license, or stated as exceptions; the above requirements apply either way.</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0" w:name="section8"/>
      <w:bookmarkEnd w:id="10"/>
      <w:r w:rsidRPr="00AA4822">
        <w:rPr>
          <w:rFonts w:ascii="Arial" w:eastAsia="Times New Roman" w:hAnsi="Arial" w:cs="Arial"/>
          <w:b/>
          <w:bCs/>
          <w:color w:val="444444"/>
          <w:sz w:val="21"/>
          <w:szCs w:val="21"/>
        </w:rPr>
        <w:t>8. Termination.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1" w:name="section9"/>
      <w:bookmarkEnd w:id="11"/>
      <w:r w:rsidRPr="00AA4822">
        <w:rPr>
          <w:rFonts w:ascii="Arial" w:eastAsia="Times New Roman" w:hAnsi="Arial" w:cs="Arial"/>
          <w:b/>
          <w:bCs/>
          <w:color w:val="444444"/>
          <w:sz w:val="21"/>
          <w:szCs w:val="21"/>
        </w:rPr>
        <w:t>9. Acceptance Not Required for Having Copies.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2" w:name="section10"/>
      <w:bookmarkEnd w:id="12"/>
      <w:r w:rsidRPr="00AA4822">
        <w:rPr>
          <w:rFonts w:ascii="Arial" w:eastAsia="Times New Roman" w:hAnsi="Arial" w:cs="Arial"/>
          <w:b/>
          <w:bCs/>
          <w:color w:val="444444"/>
          <w:sz w:val="21"/>
          <w:szCs w:val="21"/>
        </w:rPr>
        <w:t>10. Automatic Licensing of Downstream Recipients.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3" w:name="section11"/>
      <w:bookmarkEnd w:id="13"/>
      <w:r w:rsidRPr="00AA4822">
        <w:rPr>
          <w:rFonts w:ascii="Arial" w:eastAsia="Times New Roman" w:hAnsi="Arial" w:cs="Arial"/>
          <w:b/>
          <w:bCs/>
          <w:color w:val="444444"/>
          <w:sz w:val="21"/>
          <w:szCs w:val="21"/>
        </w:rPr>
        <w:t>11. Patents.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“contributor” is a copyright holder who authorizes use under this License of the Program or a work on which the Program is based. The work thus licensed is called the contributor's “contributor version”.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Nothing in this License shall be construed as excluding or limiting any implied license or other defenses to infringement that may otherwise be available to you under applicable patent law.</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4" w:name="section12"/>
      <w:bookmarkEnd w:id="14"/>
      <w:r w:rsidRPr="00AA4822">
        <w:rPr>
          <w:rFonts w:ascii="Arial" w:eastAsia="Times New Roman" w:hAnsi="Arial" w:cs="Arial"/>
          <w:b/>
          <w:bCs/>
          <w:color w:val="444444"/>
          <w:sz w:val="21"/>
          <w:szCs w:val="21"/>
        </w:rPr>
        <w:t>12. No Surrender of Others' Freedom.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5" w:name="section13"/>
      <w:bookmarkEnd w:id="15"/>
      <w:r w:rsidRPr="00AA4822">
        <w:rPr>
          <w:rFonts w:ascii="Arial" w:eastAsia="Times New Roman" w:hAnsi="Arial" w:cs="Arial"/>
          <w:b/>
          <w:bCs/>
          <w:color w:val="444444"/>
          <w:sz w:val="21"/>
          <w:szCs w:val="21"/>
        </w:rPr>
        <w:t xml:space="preserve">13. Use with the GNU </w:t>
      </w:r>
      <w:proofErr w:type="spellStart"/>
      <w:r w:rsidRPr="00AA4822">
        <w:rPr>
          <w:rFonts w:ascii="Arial" w:eastAsia="Times New Roman" w:hAnsi="Arial" w:cs="Arial"/>
          <w:b/>
          <w:bCs/>
          <w:color w:val="444444"/>
          <w:sz w:val="21"/>
          <w:szCs w:val="21"/>
        </w:rPr>
        <w:t>Affero</w:t>
      </w:r>
      <w:proofErr w:type="spellEnd"/>
      <w:r w:rsidRPr="00AA4822">
        <w:rPr>
          <w:rFonts w:ascii="Arial" w:eastAsia="Times New Roman" w:hAnsi="Arial" w:cs="Arial"/>
          <w:b/>
          <w:bCs/>
          <w:color w:val="444444"/>
          <w:sz w:val="21"/>
          <w:szCs w:val="21"/>
        </w:rPr>
        <w:t xml:space="preserve"> General Public License.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 xml:space="preserve">Notwithstanding any other provision of this License, you have permission to link or combine any covered work with a work licensed under version 3 of the GNU </w:t>
      </w:r>
      <w:proofErr w:type="spellStart"/>
      <w:r w:rsidRPr="00AA4822">
        <w:rPr>
          <w:rFonts w:ascii="Arial" w:eastAsia="Times New Roman" w:hAnsi="Arial" w:cs="Arial"/>
          <w:color w:val="444444"/>
          <w:sz w:val="21"/>
          <w:szCs w:val="21"/>
        </w:rPr>
        <w:t>Affero</w:t>
      </w:r>
      <w:proofErr w:type="spellEnd"/>
      <w:r w:rsidRPr="00AA4822">
        <w:rPr>
          <w:rFonts w:ascii="Arial" w:eastAsia="Times New Roman" w:hAnsi="Arial" w:cs="Arial"/>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AA4822">
        <w:rPr>
          <w:rFonts w:ascii="Arial" w:eastAsia="Times New Roman" w:hAnsi="Arial" w:cs="Arial"/>
          <w:color w:val="444444"/>
          <w:sz w:val="21"/>
          <w:szCs w:val="21"/>
        </w:rPr>
        <w:t>Affero</w:t>
      </w:r>
      <w:proofErr w:type="spellEnd"/>
      <w:r w:rsidRPr="00AA4822">
        <w:rPr>
          <w:rFonts w:ascii="Arial" w:eastAsia="Times New Roman" w:hAnsi="Arial" w:cs="Arial"/>
          <w:color w:val="444444"/>
          <w:sz w:val="21"/>
          <w:szCs w:val="21"/>
        </w:rPr>
        <w:t xml:space="preserve"> General Public License, section 13, concerning interaction through a network will apply to the combination as such.</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6" w:name="section14"/>
      <w:bookmarkEnd w:id="16"/>
      <w:r w:rsidRPr="00AA4822">
        <w:rPr>
          <w:rFonts w:ascii="Arial" w:eastAsia="Times New Roman" w:hAnsi="Arial" w:cs="Arial"/>
          <w:b/>
          <w:bCs/>
          <w:color w:val="444444"/>
          <w:sz w:val="21"/>
          <w:szCs w:val="21"/>
        </w:rPr>
        <w:t>14. Revised Versions of this License.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Later license versions may give you additional or different permissions. However, no additional obligations are imposed on any author or copyright holder as a result of your choosing to follow a later version.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7" w:name="section15"/>
      <w:bookmarkEnd w:id="17"/>
      <w:r w:rsidRPr="00AA4822">
        <w:rPr>
          <w:rFonts w:ascii="Arial" w:eastAsia="Times New Roman" w:hAnsi="Arial" w:cs="Arial"/>
          <w:b/>
          <w:bCs/>
          <w:color w:val="444444"/>
          <w:sz w:val="21"/>
          <w:szCs w:val="21"/>
        </w:rPr>
        <w:t>15. Disclaimer of Warranty.</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8" w:name="section16"/>
      <w:bookmarkEnd w:id="18"/>
      <w:r w:rsidRPr="00AA4822">
        <w:rPr>
          <w:rFonts w:ascii="Arial" w:eastAsia="Times New Roman" w:hAnsi="Arial" w:cs="Arial"/>
          <w:b/>
          <w:bCs/>
          <w:color w:val="444444"/>
          <w:sz w:val="21"/>
          <w:szCs w:val="21"/>
        </w:rPr>
        <w:t>16. Limitation of Liability.</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bookmarkStart w:id="19" w:name="section17"/>
      <w:bookmarkEnd w:id="19"/>
      <w:r w:rsidRPr="00AA4822">
        <w:rPr>
          <w:rFonts w:ascii="Arial" w:eastAsia="Times New Roman" w:hAnsi="Arial" w:cs="Arial"/>
          <w:b/>
          <w:bCs/>
          <w:color w:val="444444"/>
          <w:sz w:val="21"/>
          <w:szCs w:val="21"/>
        </w:rPr>
        <w:t>17. Interpretation of Sections 15 and 16.</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AA4822" w:rsidRPr="00AA4822" w:rsidRDefault="00AA4822" w:rsidP="00AA4822">
      <w:pPr>
        <w:shd w:val="clear" w:color="auto" w:fill="FCFCFC"/>
        <w:spacing w:after="375" w:line="240" w:lineRule="auto"/>
        <w:rPr>
          <w:rFonts w:ascii="Arial" w:eastAsia="Times New Roman" w:hAnsi="Arial" w:cs="Arial"/>
          <w:color w:val="444444"/>
          <w:sz w:val="21"/>
          <w:szCs w:val="21"/>
        </w:rPr>
      </w:pPr>
      <w:r w:rsidRPr="00AA4822">
        <w:rPr>
          <w:rFonts w:ascii="Arial" w:eastAsia="Times New Roman" w:hAnsi="Arial" w:cs="Arial"/>
          <w:color w:val="444444"/>
          <w:sz w:val="21"/>
          <w:szCs w:val="21"/>
        </w:rPr>
        <w:t>END OF TERMS AND CONDITIONS</w:t>
      </w:r>
    </w:p>
    <w:p w:rsidR="00D42EC1" w:rsidRDefault="00C065DB"/>
    <w:sectPr w:rsidR="00D42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DB" w:rsidRDefault="00C065DB" w:rsidP="00AA4822">
      <w:pPr>
        <w:spacing w:after="0" w:line="240" w:lineRule="auto"/>
      </w:pPr>
      <w:r>
        <w:separator/>
      </w:r>
    </w:p>
  </w:endnote>
  <w:endnote w:type="continuationSeparator" w:id="0">
    <w:p w:rsidR="00C065DB" w:rsidRDefault="00C065DB" w:rsidP="00AA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DB" w:rsidRDefault="00C065DB" w:rsidP="00AA4822">
      <w:pPr>
        <w:spacing w:after="0" w:line="240" w:lineRule="auto"/>
      </w:pPr>
      <w:r>
        <w:separator/>
      </w:r>
    </w:p>
  </w:footnote>
  <w:footnote w:type="continuationSeparator" w:id="0">
    <w:p w:rsidR="00C065DB" w:rsidRDefault="00C065DB" w:rsidP="00AA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20A74"/>
    <w:multiLevelType w:val="multilevel"/>
    <w:tmpl w:val="766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A609D"/>
    <w:multiLevelType w:val="multilevel"/>
    <w:tmpl w:val="459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921D8"/>
    <w:multiLevelType w:val="multilevel"/>
    <w:tmpl w:val="294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AF"/>
    <w:rsid w:val="00204AAF"/>
    <w:rsid w:val="00916DB0"/>
    <w:rsid w:val="00AA4822"/>
    <w:rsid w:val="00C065DB"/>
    <w:rsid w:val="00E1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458FB6-6A77-4E91-9013-693580E6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8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1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4210</Words>
  <Characters>24001</Characters>
  <Application>Microsoft Office Word</Application>
  <DocSecurity>0</DocSecurity>
  <Lines>200</Lines>
  <Paragraphs>56</Paragraphs>
  <ScaleCrop>false</ScaleCrop>
  <Company>Infosys Ltd</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Tegginamani</dc:creator>
  <cp:keywords/>
  <dc:description/>
  <cp:lastModifiedBy>Sudha Tegginamani</cp:lastModifiedBy>
  <cp:revision>2</cp:revision>
  <dcterms:created xsi:type="dcterms:W3CDTF">2020-02-14T08:19:00Z</dcterms:created>
  <dcterms:modified xsi:type="dcterms:W3CDTF">2020-02-14T08:20:00Z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Sudha_Tegginamani@ad.Infosys.com</vt:lpwstr>
  </property>
  <property fmtid="{D5CDD505-2E9C-101B-9397-08002B2CF9AE}" pid="5" name="MSIP_Label_be4b3411-284d-4d31-bd4f-bc13ef7f1fd6_SetDate">
    <vt:lpwstr>2020-02-14T08:20:04.9191498Z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e6945346-ff30-449b-a9f3-03b17a16fc0f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Sudha_Tegginamani@ad.Infosys.com</vt:lpwstr>
  </property>
  <property fmtid="{D5CDD505-2E9C-101B-9397-08002B2CF9AE}" pid="13" name="MSIP_Label_a0819fa7-4367-4500-ba88-dd630d977609_SetDate">
    <vt:lpwstr>2020-02-14T08:20:04.9191498Z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e6945346-ff30-449b-a9f3-03b17a16fc0f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