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代码不使用任一编译器专有扩展，两边均已构建通过（各 52 项单元测试全绿）。MSVC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所有用户可见字符串必须走语言包键值，不允许硬编码在代码里。</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条提到的"分别绑定"）只做到了主菜单命令这一层。宏、插件命令、运行命令都还没有对应的命令注册，"分类别绑定"要等这些功能落地；迁移预设（Default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语言包未接入，界面文本仍是硬编码中文（与第 2.11 条的多语言界面一并延后）。</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IO，所以能被单元测试覆盖到边角（752 项里这一段占 54 项）。两条贯穿所有行操作的约定单独钉了测试：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注释/取消注释</w:t>
      </w:r>
      <w:r>
        <w:rPr>
          <w:rFonts w:ascii="Segoe UI" w:hAnsi="Segoe UI" w:eastAsia="微软雅黑"/>
        </w:rPr>
        <w:t>（需要按语言取行注释符，等 langs.xml 与 UDL 落地）、</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r>
        <w:rPr>
          <w:rFonts w:ascii="Segoe UI" w:hAnsi="Segoe UI" w:eastAsia="微软雅黑"/>
          <w:b/>
        </w:rPr>
        <w:t>JSON/XML 格式化</w:t>
      </w:r>
      <w:r>
        <w:rPr>
          <w:rFonts w:ascii="Segoe UI" w:hAnsi="Segoe UI" w:eastAsia="微软雅黑"/>
        </w:rPr>
        <w:t>（属于独立一档，值得单独一轮）、以及第 4、5 条的浏览器预览与十六进制查看。</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做了但换了实现</w:t>
            </w:r>
            <w:r>
              <w:rPr>
                <w:rFonts w:ascii="Segoe UI" w:hAnsi="Segoe UI" w:eastAsia="微软雅黑"/>
                <w:sz w:val="19"/>
              </w:rPr>
              <w:t xml:space="preserve">：仍用 </w:t>
            </w:r>
            <w:r>
              <w:rPr>
                <w:rFonts w:ascii="Consolas" w:hAnsi="Consolas" w:eastAsia="微软雅黑"/>
                <w:sz w:val="19"/>
                <w:shd w:val="clear" w:color="auto" w:fill="F2F2F2"/>
              </w:rPr>
              <w:t>ILoader</w:t>
            </w:r>
            <w:r>
              <w:rPr>
                <w:rFonts w:ascii="Segoe UI" w:hAnsi="Segoe UI" w:eastAsia="微软雅黑"/>
                <w:sz w:val="19"/>
              </w:rPr>
              <w:t xml:space="preserve"> 装载到 Scintilla，叠上只读、关闭撤销、改用纯文本着色。没有实现自绘视口视图</w:t>
            </w:r>
          </w:p>
        </w:tc>
      </w:tr>
    </w:tbl>
    <w:p>
      <w:pPr>
        <w:spacing w:after="0"/>
      </w:pPr>
    </w:p>
    <w:p>
      <w:pPr>
        <w:ind w:firstLine="0"/>
      </w:pPr>
      <w:r>
        <w:rPr>
          <w:rFonts w:ascii="Segoe UI" w:hAnsi="Segoe UI" w:eastAsia="微软雅黑"/>
        </w:rPr>
        <w:t>之所以在 T3 上换实现，是因为自绘只读视图等于再造一条渲染路径（滚动、选区、命中测试、UTF-8 逐行解码都要自己来），而基线对性能的要求是"数十 MB 级日志可流畅打开与检索"——这一条 T2 已经满足。真实的代价要说清楚：</w:t>
      </w:r>
      <w:r>
        <w:rPr>
          <w:rFonts w:ascii="Segoe UI" w:hAnsi="Segoe UI" w:eastAsia="微软雅黑"/>
          <w:b/>
        </w:rPr>
        <w:t>T3 现在的内存占用仍是文件大小的数倍</w:t>
      </w:r>
      <w:r>
        <w:rPr>
          <w:rFonts w:ascii="Segoe UI" w:hAnsi="Segoe UI" w:eastAsia="微软雅黑"/>
        </w:rPr>
        <w:t>（Scintilla 的文档模型会复制内容），所以设了 512 MB 的硬上限，超过就明确拒绝并说明原因，而不是硬撑到一个卡死的状态。要真正处理 GB 级日志，仍需补上设计里那条自绘视口路径。</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样本里其余属性（主题、暗色模式、自动闭合括号、撤销深度、稀疏索引阈值等）会在对应功能落地时加入，在此之前既不会写出、读到也按未知属性忽略。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元素</w:t>
            </w:r>
          </w:p>
        </w:tc>
        <w:tc>
          <w:tcPr>
            <w:tcW w:type="dxa" w:w="4649"/>
            <w:shd w:val="clear" w:color="auto" w:fill="DCE6F1"/>
          </w:tcPr>
          <w:p>
            <w:pPr>
              <w:spacing w:after="20" w:before="20" w:line="276" w:lineRule="auto"/>
            </w:pPr>
            <w:r>
              <w:rPr>
                <w:rFonts w:ascii="Segoe UI" w:hAnsi="Segoe UI" w:eastAsia="微软雅黑"/>
                <w:b/>
                <w:sz w:val="19"/>
              </w:rPr>
              <w:t>现状</w:t>
            </w:r>
          </w:p>
        </w:tc>
      </w:tr>
      <w:tr>
        <w:tc>
          <w:tcPr>
            <w:tcW w:type="dxa" w:w="4649"/>
          </w:tcPr>
          <w:p>
            <w:pPr>
              <w:spacing w:after="20" w:before="20" w:line="276" w:lineRule="auto"/>
            </w:pPr>
            <w:r>
              <w:rPr>
                <w:rFonts w:ascii="Consolas" w:hAnsi="Consolas" w:eastAsia="微软雅黑"/>
                <w:sz w:val="19"/>
                <w:shd w:val="clear" w:color="auto" w:fill="F2F2F2"/>
              </w:rPr>
              <w:t>&lt;InternalCommands&gt;</w:t>
            </w:r>
          </w:p>
        </w:tc>
        <w:tc>
          <w:tcPr>
            <w:tcW w:type="dxa" w:w="464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r>
      <w:tr>
        <w:tc>
          <w:tcPr>
            <w:tcW w:type="dxa" w:w="4649"/>
          </w:tcPr>
          <w:p>
            <w:pPr>
              <w:spacing w:after="20" w:before="20" w:line="276" w:lineRule="auto"/>
            </w:pPr>
            <w:r>
              <w:rPr>
                <w:rFonts w:ascii="Consolas" w:hAnsi="Consolas" w:eastAsia="微软雅黑"/>
                <w:sz w:val="19"/>
                <w:shd w:val="clear" w:color="auto" w:fill="F2F2F2"/>
              </w:rPr>
              <w:t>&lt;Macros&gt;</w:t>
            </w:r>
          </w:p>
        </w:tc>
        <w:tc>
          <w:tcPr>
            <w:tcW w:type="dxa" w:w="4649"/>
          </w:tcPr>
          <w:p>
            <w:pPr>
              <w:spacing w:after="20" w:before="20" w:line="276" w:lineRule="auto"/>
            </w:pPr>
            <w:r>
              <w:rPr>
                <w:rFonts w:ascii="Segoe UI" w:hAnsi="Segoe UI" w:eastAsia="微软雅黑"/>
                <w:sz w:val="19"/>
              </w:rPr>
              <w:t>未实现（随 M2 的宏一起做）</w:t>
            </w:r>
          </w:p>
        </w:tc>
      </w:tr>
      <w:tr>
        <w:tc>
          <w:tcPr>
            <w:tcW w:type="dxa" w:w="4649"/>
          </w:tcPr>
          <w:p>
            <w:pPr>
              <w:spacing w:after="20" w:before="20" w:line="276" w:lineRule="auto"/>
            </w:pPr>
            <w:r>
              <w:rPr>
                <w:rFonts w:ascii="Consolas" w:hAnsi="Consolas" w:eastAsia="微软雅黑"/>
                <w:sz w:val="19"/>
                <w:shd w:val="clear" w:color="auto" w:fill="F2F2F2"/>
              </w:rPr>
              <w:t>&lt;UserDefinedCommands&gt;</w:t>
            </w:r>
          </w:p>
        </w:tc>
        <w:tc>
          <w:tcPr>
            <w:tcW w:type="dxa" w:w="4649"/>
          </w:tcPr>
          <w:p>
            <w:pPr>
              <w:spacing w:after="20" w:before="20" w:line="276" w:lineRule="auto"/>
            </w:pPr>
            <w:r>
              <w:rPr>
                <w:rFonts w:ascii="Segoe UI" w:hAnsi="Segoe UI" w:eastAsia="微软雅黑"/>
                <w:sz w:val="19"/>
              </w:rPr>
              <w:t>未实现（随 M12 的运行命令一起做）</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向程序发命令、填控件、按键，再回来核对编辑器选区与磁盘内容，因此能抓住"编译通过但功能没接上"的问题。当前 9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bl>
    <w:p>
      <w:pPr>
        <w:spacing w:after="0"/>
      </w:pP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r>
        <w:tc>
          <w:tcPr>
            <w:tcW w:type="dxa" w:w="2324"/>
          </w:tcPr>
          <w:p>
            <w:pPr>
              <w:spacing w:after="20" w:before="20" w:line="276" w:lineRule="auto"/>
            </w:pPr>
            <w:r>
              <w:rPr>
                <w:rFonts w:ascii="Segoe UI" w:hAnsi="Segoe UI" w:eastAsia="微软雅黑"/>
                <w:sz w:val="19"/>
              </w:rPr>
              <w:t>M4 超越项</w:t>
            </w:r>
          </w:p>
        </w:tc>
        <w:tc>
          <w:tcPr>
            <w:tcW w:type="dxa" w:w="2324"/>
          </w:tcPr>
          <w:p>
            <w:pPr>
              <w:spacing w:after="20" w:before="20" w:line="276" w:lineRule="auto"/>
            </w:pPr>
            <w:r>
              <w:rPr>
                <w:rFonts w:ascii="Segoe UI" w:hAnsi="Segoe UI" w:eastAsia="微软雅黑"/>
                <w:sz w:val="19"/>
              </w:rPr>
              <w:t>落实差异化</w:t>
            </w:r>
          </w:p>
        </w:tc>
        <w:tc>
          <w:tcPr>
            <w:tcW w:type="dxa" w:w="2324"/>
          </w:tcPr>
          <w:p>
            <w:pPr>
              <w:spacing w:after="20" w:before="20" w:line="276" w:lineRule="auto"/>
            </w:pPr>
            <w:r>
              <w:rPr>
                <w:rFonts w:ascii="Segoe UI" w:hAnsi="Segoe UI" w:eastAsia="微软雅黑"/>
                <w:sz w:val="19"/>
              </w:rPr>
              <w:t>多光标编辑、四分屏、嵌套语法、快捷键迁移预设，视情况推进 LSP 与内置终端</w:t>
            </w:r>
          </w:p>
        </w:tc>
        <w:tc>
          <w:tcPr>
            <w:tcW w:type="dxa" w:w="2324"/>
          </w:tcPr>
          <w:p>
            <w:pPr>
              <w:spacing w:after="20" w:before="20" w:line="276" w:lineRule="auto"/>
            </w:pPr>
            <w:r>
              <w:rPr>
                <w:rFonts w:ascii="Segoe UI" w:hAnsi="Segoe UI" w:eastAsia="微软雅黑"/>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A），其中行操作、注释、宏、全屏、运行命令等条目对应的命令尚未实现，所以现在还绑不上。</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（留在这里提醒后来人，两条都真实发生过）：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陷阱</w:t>
            </w:r>
          </w:p>
        </w:tc>
        <w:tc>
          <w:tcPr>
            <w:tcW w:type="dxa" w:w="3099"/>
            <w:shd w:val="clear" w:color="auto" w:fill="DCE6F1"/>
          </w:tcPr>
          <w:p>
            <w:pPr>
              <w:spacing w:after="20" w:before="20" w:line="276" w:lineRule="auto"/>
            </w:pPr>
            <w:r>
              <w:rPr>
                <w:rFonts w:ascii="Segoe UI" w:hAnsi="Segoe UI" w:eastAsia="微软雅黑"/>
                <w:b/>
                <w:sz w:val="19"/>
              </w:rPr>
              <w:t>表现</w:t>
            </w:r>
          </w:p>
        </w:tc>
        <w:tc>
          <w:tcPr>
            <w:tcW w:type="dxa" w:w="3099"/>
            <w:shd w:val="clear" w:color="auto" w:fill="DCE6F1"/>
          </w:tcPr>
          <w:p>
            <w:pPr>
              <w:spacing w:after="20" w:before="20" w:line="276" w:lineRule="auto"/>
            </w:pPr>
            <w:r>
              <w:rPr>
                <w:rFonts w:ascii="Segoe UI" w:hAnsi="Segoe UI" w:eastAsia="微软雅黑"/>
                <w:b/>
                <w:sz w:val="19"/>
              </w:rPr>
              <w:t>规避</w:t>
            </w:r>
          </w:p>
        </w:tc>
      </w:tr>
      <w:tr>
        <w:tc>
          <w:tcPr>
            <w:tcW w:type="dxa" w:w="3099"/>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3099"/>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3099"/>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r>
      <w:tr>
        <w:tc>
          <w:tcPr>
            <w:tcW w:type="dxa" w:w="3099"/>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3099"/>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3099"/>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r>
      <w:tr>
        <w:tc>
          <w:tcPr>
            <w:tcW w:type="dxa" w:w="3099"/>
          </w:tcPr>
          <w:p>
            <w:pPr>
              <w:spacing w:after="20" w:before="20" w:line="276" w:lineRule="auto"/>
            </w:pPr>
            <w:r>
              <w:rPr>
                <w:rFonts w:ascii="Segoe UI" w:hAnsi="Segoe UI" w:eastAsia="微软雅黑"/>
                <w:sz w:val="19"/>
              </w:rPr>
              <w:t>成员名撞上 Windows 宏</w:t>
            </w:r>
          </w:p>
        </w:tc>
        <w:tc>
          <w:tcPr>
            <w:tcW w:type="dxa" w:w="3099"/>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3099"/>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r>
      <w:tr>
        <w:tc>
          <w:tcPr>
            <w:tcW w:type="dxa" w:w="3099"/>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3099"/>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3099"/>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r>
      <w:tr>
        <w:tc>
          <w:tcPr>
            <w:tcW w:type="dxa" w:w="3099"/>
          </w:tcPr>
          <w:p>
            <w:pPr>
              <w:spacing w:after="20" w:before="20" w:line="276" w:lineRule="auto"/>
            </w:pPr>
            <w:r>
              <w:rPr>
                <w:rFonts w:ascii="Segoe UI" w:hAnsi="Segoe UI" w:eastAsia="微软雅黑"/>
                <w:sz w:val="19"/>
              </w:rPr>
              <w:t>模态确认框的按钮 ID 不一定是标准值</w:t>
            </w:r>
          </w:p>
        </w:tc>
        <w:tc>
          <w:tcPr>
            <w:tcW w:type="dxa" w:w="3099"/>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3099"/>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r>
      <w:tr>
        <w:tc>
          <w:tcPr>
            <w:tcW w:type="dxa" w:w="3099"/>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3099"/>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3099"/>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r>
      <w:tr>
        <w:tc>
          <w:tcPr>
            <w:tcW w:type="dxa" w:w="3099"/>
          </w:tcPr>
          <w:p>
            <w:pPr>
              <w:spacing w:after="20" w:before="20" w:line="276" w:lineRule="auto"/>
            </w:pPr>
            <w:r>
              <w:rPr>
                <w:rFonts w:ascii="Segoe UI" w:hAnsi="Segoe UI" w:eastAsia="微软雅黑"/>
                <w:sz w:val="19"/>
              </w:rPr>
              <w:t>同一份映射抄了好几遍</w:t>
            </w:r>
          </w:p>
        </w:tc>
        <w:tc>
          <w:tcPr>
            <w:tcW w:type="dxa" w:w="3099"/>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3099"/>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r>
      <w:tr>
        <w:tc>
          <w:tcPr>
            <w:tcW w:type="dxa" w:w="3099"/>
          </w:tcPr>
          <w:p>
            <w:pPr>
              <w:spacing w:after="20" w:before="20" w:line="276" w:lineRule="auto"/>
            </w:pPr>
            <w:r>
              <w:rPr>
                <w:rFonts w:ascii="Segoe UI" w:hAnsi="Segoe UI" w:eastAsia="微软雅黑"/>
                <w:sz w:val="19"/>
              </w:rPr>
              <w:t>照着旧文档传 Scintilla 消息的参数</w:t>
            </w:r>
          </w:p>
        </w:tc>
        <w:tc>
          <w:tcPr>
            <w:tcW w:type="dxa" w:w="3099"/>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3099"/>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r>
      <w:tr>
        <w:tc>
          <w:tcPr>
            <w:tcW w:type="dxa" w:w="3099"/>
          </w:tcPr>
          <w:p>
            <w:pPr>
              <w:spacing w:after="20" w:before="20" w:line="276" w:lineRule="auto"/>
            </w:pPr>
            <w:r>
              <w:rPr>
                <w:rFonts w:ascii="Segoe UI" w:hAnsi="Segoe UI" w:eastAsia="微软雅黑"/>
                <w:sz w:val="19"/>
              </w:rPr>
              <w:t>消息专用窗口找不到</w:t>
            </w:r>
          </w:p>
        </w:tc>
        <w:tc>
          <w:tcPr>
            <w:tcW w:type="dxa" w:w="3099"/>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3099"/>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r>
      <w:tr>
        <w:tc>
          <w:tcPr>
            <w:tcW w:type="dxa" w:w="3099"/>
          </w:tcPr>
          <w:p>
            <w:pPr>
              <w:spacing w:after="20" w:before="20" w:line="276" w:lineRule="auto"/>
            </w:pPr>
            <w:r>
              <w:rPr>
                <w:rFonts w:ascii="Segoe UI" w:hAnsi="Segoe UI" w:eastAsia="微软雅黑"/>
                <w:sz w:val="19"/>
              </w:rPr>
              <w:t>脚本里的诊断比被测对象更危险</w:t>
            </w:r>
          </w:p>
        </w:tc>
        <w:tc>
          <w:tcPr>
            <w:tcW w:type="dxa" w:w="3099"/>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3099"/>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r>
      <w:tr>
        <w:tc>
          <w:tcPr>
            <w:tcW w:type="dxa" w:w="3099"/>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3099"/>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3099"/>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r>
      <w:tr>
        <w:tc>
          <w:tcPr>
            <w:tcW w:type="dxa" w:w="3099"/>
          </w:tcPr>
          <w:p>
            <w:pPr>
              <w:spacing w:after="20" w:before="20" w:line="276" w:lineRule="auto"/>
            </w:pPr>
            <w:r>
              <w:rPr>
                <w:rFonts w:ascii="Segoe UI" w:hAnsi="Segoe UI" w:eastAsia="微软雅黑"/>
                <w:sz w:val="19"/>
              </w:rPr>
              <w:t>自动分配的命令 ID 会撞上显式 ID</w:t>
            </w:r>
          </w:p>
        </w:tc>
        <w:tc>
          <w:tcPr>
            <w:tcW w:type="dxa" w:w="3099"/>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p>
        </w:tc>
        <w:tc>
          <w:tcPr>
            <w:tcW w:type="dxa" w:w="3099"/>
          </w:tcPr>
          <w:p>
            <w:pPr>
              <w:spacing w:after="20" w:before="20" w:line="276" w:lineRule="auto"/>
            </w:pPr>
            <w:r>
              <w:rPr>
                <w:rFonts w:ascii="Segoe UI" w:hAnsi="Segoe UI" w:eastAsia="微软雅黑"/>
                <w:sz w:val="19"/>
              </w:rPr>
              <w:t>两处一起改：①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，并且自动分配时先跳过已用过的号。教训是"静默丢弃"永远是最坏的失败方式——它可以安静地活过整个开发周期</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