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r>
        <w:tc>
          <w:tcPr>
            <w:tcW w:type="dxa" w:w="3099"/>
          </w:tcPr>
          <w:p>
            <w:pPr>
              <w:spacing w:after="20" w:before="20" w:line="276" w:lineRule="auto"/>
            </w:pPr>
            <w:r>
              <w:rPr>
                <w:rFonts w:ascii="Segoe UI" w:hAnsi="Segoe UI" w:eastAsia="微软雅黑"/>
                <w:sz w:val="19"/>
              </w:rPr>
              <w:t>脚本里的诊断比被测对象更危险</w:t>
            </w:r>
          </w:p>
        </w:tc>
        <w:tc>
          <w:tcPr>
            <w:tcW w:type="dxa" w:w="3099"/>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3099"/>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r>
      <w:tr>
        <w:tc>
          <w:tcPr>
            <w:tcW w:type="dxa" w:w="3099"/>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3099"/>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3099"/>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