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更完整的两阶段恢复、书签与折叠状态、分屏布局、崩溃快照留待 M2（见 5.9）。</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快捷键管理界面</w:t>
      </w:r>
      <w:r>
        <w:rPr>
          <w:rFonts w:ascii="Segoe UI" w:hAnsi="Segoe UI" w:eastAsia="微软雅黑"/>
        </w:rPr>
        <w:t xml:space="preserve">（第 3 条）未开始。命令注册表已经支持 </w:t>
      </w:r>
      <w:r>
        <w:rPr>
          <w:rFonts w:ascii="Consolas" w:hAnsi="Consolas" w:eastAsia="微软雅黑"/>
          <w:sz w:val="19"/>
          <w:shd w:val="clear" w:color="auto" w:fill="F2F2F2"/>
        </w:rPr>
        <w:t>FindConflicts</w:t>
      </w:r>
      <w:r>
        <w:rPr>
          <w:rFonts w:ascii="Segoe UI" w:hAnsi="Segoe UI" w:eastAsia="微软雅黑"/>
        </w:rPr>
        <w:t xml:space="preserve"> / </w:t>
      </w:r>
      <w:r>
        <w:rPr>
          <w:rFonts w:ascii="Consolas" w:hAnsi="Consolas" w:eastAsia="微软雅黑"/>
          <w:sz w:val="19"/>
          <w:shd w:val="clear" w:color="auto" w:fill="F2F2F2"/>
        </w:rPr>
        <w:t>ResolveShortcut</w:t>
      </w:r>
      <w:r>
        <w:rPr>
          <w:rFonts w:ascii="Segoe UI" w:hAnsi="Segoe UI" w:eastAsia="微软雅黑"/>
        </w:rPr>
        <w:t>，缺的是界面。</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高级页里的崩溃快照也只做到了"配置可存"，定时落盘在 M1 的崩溃快照任务里实现。</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             崩溃恢复快照</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主题、暗色模式、自动闭合括号、撤销深度、稀疏索引阈值等）会在对应功能落地时加入，在此之前既不会写出、读到也按未知属性忽略。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w:t>
            </w:r>
            <w:r>
              <w:rPr>
                <w:rFonts w:ascii="Consolas" w:hAnsi="Consolas" w:eastAsia="微软雅黑"/>
                <w:sz w:val="19"/>
                <w:shd w:val="clear" w:color="auto" w:fill="F2F2F2"/>
              </w:rPr>
              <w:t>FindConflict</w:t>
            </w:r>
            <w:r>
              <w:rPr>
                <w:rFonts w:ascii="Segoe UI" w:hAnsi="Segoe UI" w:eastAsia="微软雅黑"/>
                <w:sz w:val="19"/>
              </w:rPr>
              <w:t xml:space="preserve"> + 2.12 第 3 条</w:t>
            </w:r>
          </w:p>
        </w:tc>
      </w:tr>
    </w:tbl>
    <w:p>
      <w:pPr>
        <w:spacing w:after="0"/>
      </w:pPr>
    </w:p>
    <w:p>
      <w:pPr>
        <w:pStyle w:val="Heading2"/>
      </w:pPr>
      <w:r>
        <w:rPr>
          <w:rFonts w:ascii="Segoe UI" w:hAnsi="Segoe UI" w:eastAsia="微软雅黑"/>
          <w:color w:val="1F4E79"/>
        </w:rPr>
        <w:t>9.4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w:t>
            </w:r>
          </w:p>
        </w:tc>
        <w:tc>
          <w:tcPr>
            <w:tcW w:type="dxa" w:w="3099"/>
          </w:tcPr>
          <w:p>
            <w:pPr>
              <w:spacing w:after="20" w:before="20" w:line="276" w:lineRule="auto"/>
            </w:pPr>
            <w:r>
              <w:rPr>
                <w:rFonts w:ascii="Consolas" w:hAnsi="Consolas" w:eastAsia="微软雅黑"/>
                <w:sz w:val="19"/>
                <w:shd w:val="clear" w:color="auto" w:fill="F2F2F2"/>
              </w:rPr>
              <w:t>Ctrl+Alt+F</w:t>
            </w:r>
            <w:r>
              <w:rPr>
                <w:rFonts w:ascii="Segoe UI" w:hAnsi="Segoe UI" w:eastAsia="微软雅黑"/>
                <w:sz w:val="19"/>
              </w:rPr>
              <w:t xml:space="preserve"> / </w:t>
            </w:r>
            <w:r>
              <w:rPr>
                <w:rFonts w:ascii="Consolas" w:hAnsi="Consolas" w:eastAsia="微软雅黑"/>
                <w:sz w:val="19"/>
                <w:shd w:val="clear" w:color="auto" w:fill="F2F2F2"/>
              </w:rPr>
              <w:t>Ctrl+Alt+Shift+F</w:t>
            </w:r>
          </w:p>
        </w:tc>
        <w:tc>
          <w:tcPr>
            <w:tcW w:type="dxa" w:w="3099"/>
          </w:tcPr>
          <w:p>
            <w:pPr>
              <w:spacing w:after="20" w:before="20" w:line="276" w:lineRule="auto"/>
            </w:pPr>
            <w:r>
              <w:rPr>
                <w:rFonts w:ascii="Segoe UI" w:hAnsi="Segoe UI" w:eastAsia="微软雅黑"/>
                <w:sz w:val="19"/>
              </w:rPr>
              <w:t>70101 / 70102</w:t>
            </w:r>
          </w:p>
        </w:tc>
      </w:tr>
      <w:tr>
        <w:tc>
          <w:tcPr>
            <w:tcW w:type="dxa" w:w="3099"/>
          </w:tcPr>
          <w:p>
            <w:pPr>
              <w:spacing w:after="20" w:before="20" w:line="276" w:lineRule="auto"/>
            </w:pPr>
            <w:r>
              <w:rPr>
                <w:rFonts w:ascii="Segoe UI" w:hAnsi="Segoe UI" w:eastAsia="微软雅黑"/>
                <w:sz w:val="19"/>
              </w:rPr>
              <w:t>折叠全部 / 展开全部</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r>
        <w:tc>
          <w:tcPr>
            <w:tcW w:type="dxa" w:w="3099"/>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3099"/>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3099"/>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r>
      <w:tr>
        <w:tc>
          <w:tcPr>
            <w:tcW w:type="dxa" w:w="3099"/>
          </w:tcPr>
          <w:p>
            <w:pPr>
              <w:spacing w:after="20" w:before="20" w:line="276" w:lineRule="auto"/>
            </w:pPr>
            <w:r>
              <w:rPr>
                <w:rFonts w:ascii="Segoe UI" w:hAnsi="Segoe UI" w:eastAsia="微软雅黑"/>
                <w:sz w:val="19"/>
              </w:rPr>
              <w:t>模态确认框的按钮 ID 不一定是标准值</w:t>
            </w:r>
          </w:p>
        </w:tc>
        <w:tc>
          <w:tcPr>
            <w:tcW w:type="dxa" w:w="3099"/>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3099"/>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