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854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承载 UDL 定义（核实过程与理由见 7.6 末尾）。</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是"按样式号逐项"，本版按语义角色——按样式号逐项要等 UDL（那时才需要让用户定义"第 7 个样式是什么"）；② 配置器里暂时只有角色配色，默认前景/背景/字体/字号目前要改文件（界面留到需要时再加）；③ 下划线这个属性没有做（Scintilla 支持，但没有实际使用场景）。</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IO，所以能被单元测试覆盖到边角（854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注释/取消注释</w:t>
      </w:r>
      <w:r>
        <w:rPr>
          <w:rFonts w:ascii="Segoe UI" w:hAnsi="Segoe UI" w:eastAsia="微软雅黑"/>
        </w:rPr>
        <w:t>（需要按语言取行注释符，等 langs.xml 与 UDL 落地）、</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r>
        <w:rPr>
          <w:rFonts w:ascii="Segoe UI" w:hAnsi="Segoe UI" w:eastAsia="微软雅黑"/>
          <w:b/>
        </w:rPr>
        <w:t>JSON/XML 格式化</w:t>
      </w:r>
      <w:r>
        <w:rPr>
          <w:rFonts w:ascii="Segoe UI" w:hAnsi="Segoe UI" w:eastAsia="微软雅黑"/>
        </w:rPr>
        <w:t>（属于独立一档，值得单独一轮）、以及第 4、5 条的浏览器预览与十六进制查看。</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主题、暗色模式、自动闭合括号、撤销深度、稀疏索引阈值等）会在对应功能落地时加入，在此之前既不会写出、读到也按未知属性忽略。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未实现（随 M2 的宏一起做）</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20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 xml:space="preserve">打开 .cpp 核对 cpp 注释样式的实际前景色是内置的绿 → 打开样式配置器核对能起来、点确定后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w:t>
            </w:r>
            <w:r>
              <w:rPr>
                <w:rFonts w:ascii="Segoe UI" w:hAnsi="Segoe UI" w:eastAsia="微软雅黑"/>
                <w:sz w:val="19"/>
              </w:rPr>
              <w:t xml:space="preserve"> → 重启 → 直接读 Scintilla 里注释样式的颜色核对（证明配色真的作用于渲染，而不只是文件写对了）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r>
        <w:tc>
          <w:tcPr>
            <w:tcW w:type="dxa" w:w="3099"/>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3099"/>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3099"/>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r>
      <w:tr>
        <w:tc>
          <w:tcPr>
            <w:tcW w:type="dxa" w:w="3099"/>
          </w:tcPr>
          <w:p>
            <w:pPr>
              <w:spacing w:after="20" w:before="20" w:line="276" w:lineRule="auto"/>
            </w:pPr>
            <w:r>
              <w:rPr>
                <w:rFonts w:ascii="Segoe UI" w:hAnsi="Segoe UI" w:eastAsia="微软雅黑"/>
                <w:sz w:val="19"/>
              </w:rPr>
              <w:t>模态确认框的按钮 ID 不一定是标准值</w:t>
            </w:r>
          </w:p>
        </w:tc>
        <w:tc>
          <w:tcPr>
            <w:tcW w:type="dxa" w:w="3099"/>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3099"/>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r>
      <w:tr>
        <w:tc>
          <w:tcPr>
            <w:tcW w:type="dxa" w:w="3099"/>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3099"/>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3099"/>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r>
      <w:tr>
        <w:tc>
          <w:tcPr>
            <w:tcW w:type="dxa" w:w="3099"/>
          </w:tcPr>
          <w:p>
            <w:pPr>
              <w:spacing w:after="20" w:before="20" w:line="276" w:lineRule="auto"/>
            </w:pPr>
            <w:r>
              <w:rPr>
                <w:rFonts w:ascii="Segoe UI" w:hAnsi="Segoe UI" w:eastAsia="微软雅黑"/>
                <w:sz w:val="19"/>
              </w:rPr>
              <w:t>同一份映射抄了好几遍</w:t>
            </w:r>
          </w:p>
        </w:tc>
        <w:tc>
          <w:tcPr>
            <w:tcW w:type="dxa" w:w="3099"/>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3099"/>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r>
      <w:tr>
        <w:tc>
          <w:tcPr>
            <w:tcW w:type="dxa" w:w="3099"/>
          </w:tcPr>
          <w:p>
            <w:pPr>
              <w:spacing w:after="20" w:before="20" w:line="276" w:lineRule="auto"/>
            </w:pPr>
            <w:r>
              <w:rPr>
                <w:rFonts w:ascii="Segoe UI" w:hAnsi="Segoe UI" w:eastAsia="微软雅黑"/>
                <w:sz w:val="19"/>
              </w:rPr>
              <w:t>照着旧文档传 Scintilla 消息的参数</w:t>
            </w:r>
          </w:p>
        </w:tc>
        <w:tc>
          <w:tcPr>
            <w:tcW w:type="dxa" w:w="3099"/>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3099"/>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r>
      <w:tr>
        <w:tc>
          <w:tcPr>
            <w:tcW w:type="dxa" w:w="3099"/>
          </w:tcPr>
          <w:p>
            <w:pPr>
              <w:spacing w:after="20" w:before="20" w:line="276" w:lineRule="auto"/>
            </w:pPr>
            <w:r>
              <w:rPr>
                <w:rFonts w:ascii="Segoe UI" w:hAnsi="Segoe UI" w:eastAsia="微软雅黑"/>
                <w:sz w:val="19"/>
              </w:rPr>
              <w:t>消息专用窗口找不到</w:t>
            </w:r>
          </w:p>
        </w:tc>
        <w:tc>
          <w:tcPr>
            <w:tcW w:type="dxa" w:w="3099"/>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3099"/>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r>
      <w:tr>
        <w:tc>
          <w:tcPr>
            <w:tcW w:type="dxa" w:w="3099"/>
          </w:tcPr>
          <w:p>
            <w:pPr>
              <w:spacing w:after="20" w:before="20" w:line="276" w:lineRule="auto"/>
            </w:pPr>
            <w:r>
              <w:rPr>
                <w:rFonts w:ascii="Segoe UI" w:hAnsi="Segoe UI" w:eastAsia="微软雅黑"/>
                <w:sz w:val="19"/>
              </w:rPr>
              <w:t>脚本里的诊断比被测对象更危险</w:t>
            </w:r>
          </w:p>
        </w:tc>
        <w:tc>
          <w:tcPr>
            <w:tcW w:type="dxa" w:w="3099"/>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3099"/>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r>
      <w:tr>
        <w:tc>
          <w:tcPr>
            <w:tcW w:type="dxa" w:w="3099"/>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3099"/>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3099"/>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r>
      <w:tr>
        <w:tc>
          <w:tcPr>
            <w:tcW w:type="dxa" w:w="3099"/>
          </w:tcPr>
          <w:p>
            <w:pPr>
              <w:spacing w:after="20" w:before="20" w:line="276" w:lineRule="auto"/>
            </w:pPr>
            <w:r>
              <w:rPr>
                <w:rFonts w:ascii="Segoe UI" w:hAnsi="Segoe UI" w:eastAsia="微软雅黑"/>
                <w:sz w:val="19"/>
              </w:rPr>
              <w:t>自动分配的命令 ID 会撞上显式 ID</w:t>
            </w:r>
          </w:p>
        </w:tc>
        <w:tc>
          <w:tcPr>
            <w:tcW w:type="dxa" w:w="3099"/>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p>
        </w:tc>
        <w:tc>
          <w:tcPr>
            <w:tcW w:type="dxa" w:w="3099"/>
          </w:tcPr>
          <w:p>
            <w:pPr>
              <w:spacing w:after="20" w:before="20" w:line="276" w:lineRule="auto"/>
            </w:pPr>
            <w:r>
              <w:rPr>
                <w:rFonts w:ascii="Segoe UI" w:hAnsi="Segoe UI" w:eastAsia="微软雅黑"/>
                <w:sz w:val="19"/>
              </w:rPr>
              <w:t>两处一起改：①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，并且自动分配时先跳过已用过的号。教训是"静默丢弃"永远是最坏的失败方式——它可以安静地活过整个开发周期</w:t>
            </w:r>
          </w:p>
        </w:tc>
      </w:tr>
      <w:tr>
        <w:tc>
          <w:tcPr>
            <w:tcW w:type="dxa" w:w="3099"/>
          </w:tcPr>
          <w:p>
            <w:pPr>
              <w:spacing w:after="20" w:before="20" w:line="276" w:lineRule="auto"/>
            </w:pPr>
            <w:r>
              <w:rPr>
                <w:rFonts w:ascii="Segoe UI" w:hAnsi="Segoe UI" w:eastAsia="微软雅黑"/>
                <w:sz w:val="19"/>
              </w:rPr>
              <w:t>词法器的关键词表会粘住</w:t>
            </w:r>
          </w:p>
        </w:tc>
        <w:tc>
          <w:tcPr>
            <w:tcW w:type="dxa" w:w="3099"/>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3099"/>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r>
      <w:tr>
        <w:tc>
          <w:tcPr>
            <w:tcW w:type="dxa" w:w="3099"/>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3099"/>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3099"/>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r>
      <w:tr>
        <w:tc>
          <w:tcPr>
            <w:tcW w:type="dxa" w:w="3099"/>
          </w:tcPr>
          <w:p>
            <w:pPr>
              <w:spacing w:after="20" w:before="20" w:line="276" w:lineRule="auto"/>
            </w:pPr>
            <w:r>
              <w:rPr>
                <w:rFonts w:ascii="Segoe UI" w:hAnsi="Segoe UI" w:eastAsia="微软雅黑"/>
                <w:sz w:val="19"/>
              </w:rPr>
              <w:t>两个工具链的单元测试并行跑会互相踩</w:t>
            </w:r>
          </w:p>
        </w:tc>
        <w:tc>
          <w:tcPr>
            <w:tcW w:type="dxa" w:w="3099"/>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854 项全绿</w:t>
            </w:r>
          </w:p>
        </w:tc>
        <w:tc>
          <w:tcPr>
            <w:tcW w:type="dxa" w:w="3099"/>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r>
      <w:tr>
        <w:tc>
          <w:tcPr>
            <w:tcW w:type="dxa" w:w="3099"/>
          </w:tcPr>
          <w:p>
            <w:pPr>
              <w:spacing w:after="20" w:before="20" w:line="276" w:lineRule="auto"/>
            </w:pPr>
            <w:r>
              <w:rPr>
                <w:rFonts w:ascii="Segoe UI" w:hAnsi="Segoe UI" w:eastAsia="微软雅黑"/>
                <w:sz w:val="19"/>
              </w:rPr>
              <w:t>在 UI 线程上写了个 O(n²)（自动完成的提词）</w:t>
            </w:r>
          </w:p>
        </w:tc>
        <w:tc>
          <w:tcPr>
            <w:tcW w:type="dxa" w:w="3099"/>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3099"/>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