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IO，所以能被单元测试覆盖到边角（752 项里这一段占 54 项）。两条贯穿所有行操作的约定单独钉了测试：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r>
        <w:rPr>
          <w:rFonts w:ascii="Segoe UI" w:hAnsi="Segoe UI" w:eastAsia="微软雅黑"/>
          <w:b/>
        </w:rPr>
        <w:t>JSON/XML 格式化</w:t>
      </w:r>
      <w:r>
        <w:rPr>
          <w:rFonts w:ascii="Segoe UI" w:hAnsi="Segoe UI" w:eastAsia="微软雅黑"/>
        </w:rPr>
        <w:t>（属于独立一档，值得单独一轮）、以及第 4、5 条的浏览器预览与十六进制查看。</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r>
        <w:tc>
          <w:tcPr>
            <w:tcW w:type="dxa" w:w="3099"/>
          </w:tcPr>
          <w:p>
            <w:pPr>
              <w:spacing w:after="20" w:before="20" w:line="276" w:lineRule="auto"/>
            </w:pPr>
            <w:r>
              <w:rPr>
                <w:rFonts w:ascii="Segoe UI" w:hAnsi="Segoe UI" w:eastAsia="微软雅黑"/>
                <w:sz w:val="19"/>
              </w:rPr>
              <w:t>同一份映射抄了好几遍</w:t>
            </w:r>
          </w:p>
        </w:tc>
        <w:tc>
          <w:tcPr>
            <w:tcW w:type="dxa" w:w="3099"/>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3099"/>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r>
      <w:tr>
        <w:tc>
          <w:tcPr>
            <w:tcW w:type="dxa" w:w="3099"/>
          </w:tcPr>
          <w:p>
            <w:pPr>
              <w:spacing w:after="20" w:before="20" w:line="276" w:lineRule="auto"/>
            </w:pPr>
            <w:r>
              <w:rPr>
                <w:rFonts w:ascii="Segoe UI" w:hAnsi="Segoe UI" w:eastAsia="微软雅黑"/>
                <w:sz w:val="19"/>
              </w:rPr>
              <w:t>照着旧文档传 Scintilla 消息的参数</w:t>
            </w:r>
          </w:p>
        </w:tc>
        <w:tc>
          <w:tcPr>
            <w:tcW w:type="dxa" w:w="3099"/>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3099"/>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r>
      <w:tr>
        <w:tc>
          <w:tcPr>
            <w:tcW w:type="dxa" w:w="3099"/>
          </w:tcPr>
          <w:p>
            <w:pPr>
              <w:spacing w:after="20" w:before="20" w:line="276" w:lineRule="auto"/>
            </w:pPr>
            <w:r>
              <w:rPr>
                <w:rFonts w:ascii="Segoe UI" w:hAnsi="Segoe UI" w:eastAsia="微软雅黑"/>
                <w:sz w:val="19"/>
              </w:rPr>
              <w:t>消息专用窗口找不到</w:t>
            </w:r>
          </w:p>
        </w:tc>
        <w:tc>
          <w:tcPr>
            <w:tcW w:type="dxa" w:w="3099"/>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3099"/>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r>
      <w:tr>
        <w:tc>
          <w:tcPr>
            <w:tcW w:type="dxa" w:w="3099"/>
          </w:tcPr>
          <w:p>
            <w:pPr>
              <w:spacing w:after="20" w:before="20" w:line="276" w:lineRule="auto"/>
            </w:pPr>
            <w:r>
              <w:rPr>
                <w:rFonts w:ascii="Segoe UI" w:hAnsi="Segoe UI" w:eastAsia="微软雅黑"/>
                <w:sz w:val="19"/>
              </w:rPr>
              <w:t>脚本里的诊断比被测对象更危险</w:t>
            </w:r>
          </w:p>
        </w:tc>
        <w:tc>
          <w:tcPr>
            <w:tcW w:type="dxa" w:w="3099"/>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3099"/>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r>
      <w:tr>
        <w:tc>
          <w:tcPr>
            <w:tcW w:type="dxa" w:w="3099"/>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3099"/>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3099"/>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r>
      <w:tr>
        <w:tc>
          <w:tcPr>
            <w:tcW w:type="dxa" w:w="3099"/>
          </w:tcPr>
          <w:p>
            <w:pPr>
              <w:spacing w:after="20" w:before="20" w:line="276" w:lineRule="auto"/>
            </w:pPr>
            <w:r>
              <w:rPr>
                <w:rFonts w:ascii="Segoe UI" w:hAnsi="Segoe UI" w:eastAsia="微软雅黑"/>
                <w:sz w:val="19"/>
              </w:rPr>
              <w:t>自动分配的命令 ID 会撞上显式 ID</w:t>
            </w:r>
          </w:p>
        </w:tc>
        <w:tc>
          <w:tcPr>
            <w:tcW w:type="dxa" w:w="3099"/>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3099"/>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