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 ＋ Ninja</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 与 MinGW-w64 GCC 双轨，均以 CMake 驱动</w:t>
            </w:r>
          </w:p>
        </w:tc>
        <w:tc>
          <w:tcPr>
            <w:tcW w:type="dxa" w:w="2324"/>
          </w:tcPr>
          <w:p>
            <w:pPr>
              <w:spacing w:after="20" w:before="20" w:line="276" w:lineRule="auto"/>
            </w:pPr>
            <w:r>
              <w:rPr>
                <w:rFonts w:ascii="Segoe UI" w:hAnsi="Segoe UI" w:eastAsia="微软雅黑"/>
                <w:sz w:val="19"/>
              </w:rPr>
              <w:t>开发机未安装 Visual Studio（非管理员无法安装），MinGW-w64 可免管理员取得；代码不使用任一编译器专有扩展，保持两边可编译</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全部保存 / 关闭当前文档</w:t>
            </w:r>
          </w:p>
        </w:tc>
        <w:tc>
          <w:tcPr>
            <w:tcW w:type="dxa" w:w="3099"/>
          </w:tcPr>
          <w:p>
            <w:pPr>
              <w:spacing w:after="20" w:before="20" w:line="276" w:lineRule="auto"/>
            </w:pPr>
            <w:r>
              <w:rPr>
                <w:rFonts w:ascii="Consolas" w:hAnsi="Consolas" w:eastAsia="微软雅黑"/>
                <w:sz w:val="19"/>
                <w:shd w:val="clear" w:color="auto" w:fill="F2F2F2"/>
              </w:rPr>
              <w:t>Ctrl+Shift+S</w:t>
            </w:r>
            <w:r>
              <w:rPr>
                <w:rFonts w:ascii="Segoe UI" w:hAnsi="Segoe UI" w:eastAsia="微软雅黑"/>
                <w:sz w:val="19"/>
              </w:rPr>
              <w:t xml:space="preserve"> / </w:t>
            </w: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10104 / 10105</w:t>
            </w:r>
          </w:p>
        </w:tc>
      </w:tr>
      <w:tr>
        <w:tc>
          <w:tcPr>
            <w:tcW w:type="dxa" w:w="3099"/>
          </w:tcPr>
          <w:p>
            <w:pPr>
              <w:spacing w:after="20" w:before="20" w:line="276" w:lineRule="auto"/>
            </w:pPr>
            <w:r>
              <w:rPr>
                <w:rFonts w:ascii="Segoe UI" w:hAnsi="Segoe UI" w:eastAsia="微软雅黑"/>
                <w:sz w:val="19"/>
              </w:rPr>
              <w:t>关闭其他 / 全部文档</w:t>
            </w:r>
          </w:p>
        </w:tc>
        <w:tc>
          <w:tcPr>
            <w:tcW w:type="dxa" w:w="3099"/>
          </w:tcPr>
          <w:p>
            <w:pPr>
              <w:spacing w:after="20" w:before="20" w:line="276" w:lineRule="auto"/>
            </w:pPr>
            <w:r>
              <w:rPr>
                <w:rFonts w:ascii="Consolas" w:hAnsi="Consolas" w:eastAsia="微软雅黑"/>
                <w:sz w:val="19"/>
                <w:shd w:val="clear" w:color="auto" w:fill="F2F2F2"/>
              </w:rPr>
              <w:t>Ctrl+Shift+W</w:t>
            </w:r>
            <w:r>
              <w:rPr>
                <w:rFonts w:ascii="Segoe UI" w:hAnsi="Segoe UI" w:eastAsia="微软雅黑"/>
                <w:sz w:val="19"/>
              </w:rPr>
              <w:t xml:space="preserve"> / </w:t>
            </w: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10106 / 10107</w:t>
            </w:r>
          </w:p>
        </w:tc>
      </w:tr>
      <w:tr>
        <w:tc>
          <w:tcPr>
            <w:tcW w:type="dxa" w:w="3099"/>
          </w:tcPr>
          <w:p>
            <w:pPr>
              <w:spacing w:after="20" w:before="20" w:line="276" w:lineRule="auto"/>
            </w:pPr>
            <w:r>
              <w:rPr>
                <w:rFonts w:ascii="Segoe UI" w:hAnsi="Segoe UI" w:eastAsia="微软雅黑"/>
                <w:sz w:val="19"/>
              </w:rPr>
              <w:t>切换文档（最近使用顺序）</w:t>
            </w:r>
          </w:p>
        </w:tc>
        <w:tc>
          <w:tcPr>
            <w:tcW w:type="dxa" w:w="3099"/>
          </w:tcPr>
          <w:p>
            <w:pPr>
              <w:spacing w:after="20" w:before="20" w:line="276" w:lineRule="auto"/>
            </w:pPr>
            <w:r>
              <w:rPr>
                <w:rFonts w:ascii="Consolas" w:hAnsi="Consolas" w:eastAsia="微软雅黑"/>
                <w:sz w:val="19"/>
                <w:shd w:val="clear" w:color="auto" w:fill="F2F2F2"/>
              </w:rPr>
              <w:t>Ctrl+Tab</w:t>
            </w:r>
          </w:p>
        </w:tc>
        <w:tc>
          <w:tcPr>
            <w:tcW w:type="dxa" w:w="3099"/>
          </w:tcPr>
          <w:p>
            <w:pPr>
              <w:spacing w:after="20" w:before="20" w:line="276" w:lineRule="auto"/>
            </w:pPr>
            <w:r>
              <w:rPr>
                <w:rFonts w:ascii="Segoe UI" w:hAnsi="Segoe UI" w:eastAsia="微软雅黑"/>
                <w:sz w:val="19"/>
              </w:rPr>
              <w:t>10108</w:t>
            </w:r>
          </w:p>
        </w:tc>
      </w:tr>
      <w:tr>
        <w:tc>
          <w:tcPr>
            <w:tcW w:type="dxa" w:w="3099"/>
          </w:tcPr>
          <w:p>
            <w:pPr>
              <w:spacing w:after="20" w:before="20" w:line="276" w:lineRule="auto"/>
            </w:pPr>
            <w:r>
              <w:rPr>
                <w:rFonts w:ascii="Segoe UI" w:hAnsi="Segoe UI" w:eastAsia="微软雅黑"/>
                <w:sz w:val="19"/>
              </w:rPr>
              <w:t>上一 / 下一标签</w:t>
            </w:r>
          </w:p>
        </w:tc>
        <w:tc>
          <w:tcPr>
            <w:tcW w:type="dxa" w:w="3099"/>
          </w:tcPr>
          <w:p>
            <w:pPr>
              <w:spacing w:after="20" w:before="20" w:line="276" w:lineRule="auto"/>
            </w:pPr>
            <w:r>
              <w:rPr>
                <w:rFonts w:ascii="Consolas" w:hAnsi="Consolas" w:eastAsia="微软雅黑"/>
                <w:sz w:val="19"/>
                <w:shd w:val="clear" w:color="auto" w:fill="F2F2F2"/>
              </w:rPr>
              <w:t>Ctrl+PgUp</w:t>
            </w:r>
            <w:r>
              <w:rPr>
                <w:rFonts w:ascii="Segoe UI" w:hAnsi="Segoe UI" w:eastAsia="微软雅黑"/>
                <w:sz w:val="19"/>
              </w:rPr>
              <w:t xml:space="preserve"> / </w:t>
            </w:r>
            <w:r>
              <w:rPr>
                <w:rFonts w:ascii="Consolas" w:hAnsi="Consolas" w:eastAsia="微软雅黑"/>
                <w:sz w:val="19"/>
                <w:shd w:val="clear" w:color="auto" w:fill="F2F2F2"/>
              </w:rPr>
              <w:t>Ctrl+PgDn</w:t>
            </w:r>
          </w:p>
        </w:tc>
        <w:tc>
          <w:tcPr>
            <w:tcW w:type="dxa" w:w="3099"/>
          </w:tcPr>
          <w:p>
            <w:pPr>
              <w:spacing w:after="20" w:before="20" w:line="276" w:lineRule="auto"/>
            </w:pPr>
            <w:r>
              <w:rPr>
                <w:rFonts w:ascii="Segoe UI" w:hAnsi="Segoe UI" w:eastAsia="微软雅黑"/>
                <w:sz w:val="19"/>
              </w:rPr>
              <w:t>10109 / 10110</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命令 ID 分段规则：第一位为类别（1 文件、2 查找、3 编辑、4 书签、5 列编辑、6 语言、7 折叠、8 宏、9 视图、10 运行），后四位为类别内序号。插件命令从 1000000 起分配，避免与内置命令冲突。</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UTF-8（含 BOM，便于 MSVC 正确识别中文字符串）</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