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代码不使用任一编译器专有扩展，两边均已构建通过（各 52 项单元测试全绿）。MSVC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主题、暗色模式、自动闭合括号、撤销深度、稀疏索引阈值等）会在对应功能落地时加入，在此之前既不会写出、读到也按未知属性忽略。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元素</w:t>
            </w:r>
          </w:p>
        </w:tc>
        <w:tc>
          <w:tcPr>
            <w:tcW w:type="dxa" w:w="4649"/>
            <w:shd w:val="clear" w:color="auto" w:fill="DCE6F1"/>
          </w:tcPr>
          <w:p>
            <w:pPr>
              <w:spacing w:after="20" w:before="20" w:line="276" w:lineRule="auto"/>
            </w:pPr>
            <w:r>
              <w:rPr>
                <w:rFonts w:ascii="Segoe UI" w:hAnsi="Segoe UI" w:eastAsia="微软雅黑"/>
                <w:b/>
                <w:sz w:val="19"/>
              </w:rPr>
              <w:t>现状</w:t>
            </w:r>
          </w:p>
        </w:tc>
      </w:tr>
      <w:tr>
        <w:tc>
          <w:tcPr>
            <w:tcW w:type="dxa" w:w="4649"/>
          </w:tcPr>
          <w:p>
            <w:pPr>
              <w:spacing w:after="20" w:before="20" w:line="276" w:lineRule="auto"/>
            </w:pPr>
            <w:r>
              <w:rPr>
                <w:rFonts w:ascii="Consolas" w:hAnsi="Consolas" w:eastAsia="微软雅黑"/>
                <w:sz w:val="19"/>
                <w:shd w:val="clear" w:color="auto" w:fill="F2F2F2"/>
              </w:rPr>
              <w:t>&lt;InternalCommands&gt;</w:t>
            </w:r>
          </w:p>
        </w:tc>
        <w:tc>
          <w:tcPr>
            <w:tcW w:type="dxa" w:w="464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r>
      <w:tr>
        <w:tc>
          <w:tcPr>
            <w:tcW w:type="dxa" w:w="4649"/>
          </w:tcPr>
          <w:p>
            <w:pPr>
              <w:spacing w:after="20" w:before="20" w:line="276" w:lineRule="auto"/>
            </w:pPr>
            <w:r>
              <w:rPr>
                <w:rFonts w:ascii="Consolas" w:hAnsi="Consolas" w:eastAsia="微软雅黑"/>
                <w:sz w:val="19"/>
                <w:shd w:val="clear" w:color="auto" w:fill="F2F2F2"/>
              </w:rPr>
              <w:t>&lt;Macros&gt;</w:t>
            </w:r>
          </w:p>
        </w:tc>
        <w:tc>
          <w:tcPr>
            <w:tcW w:type="dxa" w:w="4649"/>
          </w:tcPr>
          <w:p>
            <w:pPr>
              <w:spacing w:after="20" w:before="20" w:line="276" w:lineRule="auto"/>
            </w:pPr>
            <w:r>
              <w:rPr>
                <w:rFonts w:ascii="Segoe UI" w:hAnsi="Segoe UI" w:eastAsia="微软雅黑"/>
                <w:sz w:val="19"/>
              </w:rPr>
              <w:t>未实现（随 M2 的宏一起做）</w:t>
            </w:r>
          </w:p>
        </w:tc>
      </w:tr>
      <w:tr>
        <w:tc>
          <w:tcPr>
            <w:tcW w:type="dxa" w:w="4649"/>
          </w:tcPr>
          <w:p>
            <w:pPr>
              <w:spacing w:after="20" w:before="20" w:line="276" w:lineRule="auto"/>
            </w:pPr>
            <w:r>
              <w:rPr>
                <w:rFonts w:ascii="Consolas" w:hAnsi="Consolas" w:eastAsia="微软雅黑"/>
                <w:sz w:val="19"/>
                <w:shd w:val="clear" w:color="auto" w:fill="F2F2F2"/>
              </w:rPr>
              <w:t>&lt;UserDefinedCommands&gt;</w:t>
            </w:r>
          </w:p>
        </w:tc>
        <w:tc>
          <w:tcPr>
            <w:tcW w:type="dxa" w:w="4649"/>
          </w:tcPr>
          <w:p>
            <w:pPr>
              <w:spacing w:after="20" w:before="20" w:line="276" w:lineRule="auto"/>
            </w:pPr>
            <w:r>
              <w:rPr>
                <w:rFonts w:ascii="Segoe UI" w:hAnsi="Segoe UI" w:eastAsia="微软雅黑"/>
                <w:sz w:val="19"/>
              </w:rPr>
              <w:t>未实现（随 M12 的运行命令一起做）</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9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A），其中行操作、注释、宏、全屏、运行命令等条目对应的命令尚未实现，所以现在还绑不上。</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陷阱</w:t>
            </w:r>
          </w:p>
        </w:tc>
        <w:tc>
          <w:tcPr>
            <w:tcW w:type="dxa" w:w="3099"/>
            <w:shd w:val="clear" w:color="auto" w:fill="DCE6F1"/>
          </w:tcPr>
          <w:p>
            <w:pPr>
              <w:spacing w:after="20" w:before="20" w:line="276" w:lineRule="auto"/>
            </w:pPr>
            <w:r>
              <w:rPr>
                <w:rFonts w:ascii="Segoe UI" w:hAnsi="Segoe UI" w:eastAsia="微软雅黑"/>
                <w:b/>
                <w:sz w:val="19"/>
              </w:rPr>
              <w:t>表现</w:t>
            </w:r>
          </w:p>
        </w:tc>
        <w:tc>
          <w:tcPr>
            <w:tcW w:type="dxa" w:w="3099"/>
            <w:shd w:val="clear" w:color="auto" w:fill="DCE6F1"/>
          </w:tcPr>
          <w:p>
            <w:pPr>
              <w:spacing w:after="20" w:before="20" w:line="276" w:lineRule="auto"/>
            </w:pPr>
            <w:r>
              <w:rPr>
                <w:rFonts w:ascii="Segoe UI" w:hAnsi="Segoe UI" w:eastAsia="微软雅黑"/>
                <w:b/>
                <w:sz w:val="19"/>
              </w:rPr>
              <w:t>规避</w:t>
            </w:r>
          </w:p>
        </w:tc>
      </w:tr>
      <w:tr>
        <w:tc>
          <w:tcPr>
            <w:tcW w:type="dxa" w:w="3099"/>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3099"/>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3099"/>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r>
      <w:tr>
        <w:tc>
          <w:tcPr>
            <w:tcW w:type="dxa" w:w="3099"/>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3099"/>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3099"/>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r>
      <w:tr>
        <w:tc>
          <w:tcPr>
            <w:tcW w:type="dxa" w:w="3099"/>
          </w:tcPr>
          <w:p>
            <w:pPr>
              <w:spacing w:after="20" w:before="20" w:line="276" w:lineRule="auto"/>
            </w:pPr>
            <w:r>
              <w:rPr>
                <w:rFonts w:ascii="Segoe UI" w:hAnsi="Segoe UI" w:eastAsia="微软雅黑"/>
                <w:sz w:val="19"/>
              </w:rPr>
              <w:t>成员名撞上 Windows 宏</w:t>
            </w:r>
          </w:p>
        </w:tc>
        <w:tc>
          <w:tcPr>
            <w:tcW w:type="dxa" w:w="3099"/>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3099"/>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r>
      <w:tr>
        <w:tc>
          <w:tcPr>
            <w:tcW w:type="dxa" w:w="3099"/>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3099"/>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3099"/>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r>
      <w:tr>
        <w:tc>
          <w:tcPr>
            <w:tcW w:type="dxa" w:w="3099"/>
          </w:tcPr>
          <w:p>
            <w:pPr>
              <w:spacing w:after="20" w:before="20" w:line="276" w:lineRule="auto"/>
            </w:pPr>
            <w:r>
              <w:rPr>
                <w:rFonts w:ascii="Segoe UI" w:hAnsi="Segoe UI" w:eastAsia="微软雅黑"/>
                <w:sz w:val="19"/>
              </w:rPr>
              <w:t>模态确认框的按钮 ID 不一定是标准值</w:t>
            </w:r>
          </w:p>
        </w:tc>
        <w:tc>
          <w:tcPr>
            <w:tcW w:type="dxa" w:w="3099"/>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3099"/>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r>
      <w:tr>
        <w:tc>
          <w:tcPr>
            <w:tcW w:type="dxa" w:w="3099"/>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3099"/>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3099"/>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r>
      <w:tr>
        <w:tc>
          <w:tcPr>
            <w:tcW w:type="dxa" w:w="3099"/>
          </w:tcPr>
          <w:p>
            <w:pPr>
              <w:spacing w:after="20" w:before="20" w:line="276" w:lineRule="auto"/>
            </w:pPr>
            <w:r>
              <w:rPr>
                <w:rFonts w:ascii="Segoe UI" w:hAnsi="Segoe UI" w:eastAsia="微软雅黑"/>
                <w:sz w:val="19"/>
              </w:rPr>
              <w:t>同一份映射抄了好几遍</w:t>
            </w:r>
          </w:p>
        </w:tc>
        <w:tc>
          <w:tcPr>
            <w:tcW w:type="dxa" w:w="3099"/>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3099"/>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r>
      <w:tr>
        <w:tc>
          <w:tcPr>
            <w:tcW w:type="dxa" w:w="3099"/>
          </w:tcPr>
          <w:p>
            <w:pPr>
              <w:spacing w:after="20" w:before="20" w:line="276" w:lineRule="auto"/>
            </w:pPr>
            <w:r>
              <w:rPr>
                <w:rFonts w:ascii="Segoe UI" w:hAnsi="Segoe UI" w:eastAsia="微软雅黑"/>
                <w:sz w:val="19"/>
              </w:rPr>
              <w:t>照着旧文档传 Scintilla 消息的参数</w:t>
            </w:r>
          </w:p>
        </w:tc>
        <w:tc>
          <w:tcPr>
            <w:tcW w:type="dxa" w:w="3099"/>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3099"/>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r>
      <w:tr>
        <w:tc>
          <w:tcPr>
            <w:tcW w:type="dxa" w:w="3099"/>
          </w:tcPr>
          <w:p>
            <w:pPr>
              <w:spacing w:after="20" w:before="20" w:line="276" w:lineRule="auto"/>
            </w:pPr>
            <w:r>
              <w:rPr>
                <w:rFonts w:ascii="Segoe UI" w:hAnsi="Segoe UI" w:eastAsia="微软雅黑"/>
                <w:sz w:val="19"/>
              </w:rPr>
              <w:t>消息专用窗口找不到</w:t>
            </w:r>
          </w:p>
        </w:tc>
        <w:tc>
          <w:tcPr>
            <w:tcW w:type="dxa" w:w="3099"/>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3099"/>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