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11DF3" w14:textId="12E1DBB6" w:rsidR="00E951FE" w:rsidRDefault="26A15CA4" w:rsidP="706CFDEB">
      <w:pPr>
        <w:spacing w:after="240" w:line="240" w:lineRule="auto"/>
        <w:jc w:val="center"/>
      </w:pPr>
      <w:r>
        <w:rPr>
          <w:noProof/>
        </w:rPr>
        <w:drawing>
          <wp:inline distT="0" distB="0" distL="0" distR="0" wp14:anchorId="35BB76CC" wp14:editId="7E5530A7">
            <wp:extent cx="4076700" cy="1943100"/>
            <wp:effectExtent l="0" t="0" r="0" b="0"/>
            <wp:docPr id="198191485" name="drawing">
              <a:extLst xmlns:a="http://schemas.openxmlformats.org/drawingml/2006/main">
                <a:ext uri="{FF2B5EF4-FFF2-40B4-BE49-F238E27FC236}">
                  <a16:creationId xmlns:a16="http://schemas.microsoft.com/office/drawing/2014/main" id="{72FA8406-323D-4F2C-889E-37AA46DBB6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1485" name=""/>
                    <pic:cNvPicPr/>
                  </pic:nvPicPr>
                  <pic:blipFill>
                    <a:blip r:embed="rId5">
                      <a:extLst>
                        <a:ext uri="{28A0092B-C50C-407E-A947-70E740481C1C}">
                          <a14:useLocalDpi xmlns:a14="http://schemas.microsoft.com/office/drawing/2010/main" val="0"/>
                        </a:ext>
                      </a:extLst>
                    </a:blip>
                    <a:stretch>
                      <a:fillRect/>
                    </a:stretch>
                  </pic:blipFill>
                  <pic:spPr>
                    <a:xfrm>
                      <a:off x="0" y="0"/>
                      <a:ext cx="4076700" cy="1943100"/>
                    </a:xfrm>
                    <a:prstGeom prst="rect">
                      <a:avLst/>
                    </a:prstGeom>
                  </pic:spPr>
                </pic:pic>
              </a:graphicData>
            </a:graphic>
          </wp:inline>
        </w:drawing>
      </w:r>
    </w:p>
    <w:p w14:paraId="554F53B9" w14:textId="153590DB" w:rsidR="00E951FE" w:rsidRDefault="26A15CA4" w:rsidP="706CFDEB">
      <w:pPr>
        <w:spacing w:after="120" w:line="312" w:lineRule="auto"/>
        <w:jc w:val="center"/>
        <w:rPr>
          <w:rFonts w:ascii="Aptos Narrow" w:eastAsia="Aptos Narrow" w:hAnsi="Aptos Narrow" w:cs="Aptos Narrow"/>
          <w:sz w:val="72"/>
          <w:szCs w:val="72"/>
        </w:rPr>
      </w:pPr>
      <w:r w:rsidRPr="706CFDEB">
        <w:rPr>
          <w:rFonts w:ascii="Aptos Narrow" w:eastAsia="Aptos Narrow" w:hAnsi="Aptos Narrow" w:cs="Aptos Narrow"/>
          <w:b/>
          <w:bCs/>
          <w:sz w:val="72"/>
          <w:szCs w:val="72"/>
        </w:rPr>
        <w:t>[</w:t>
      </w:r>
      <w:r w:rsidRPr="706CFDEB">
        <w:rPr>
          <w:rFonts w:ascii="Aptos Narrow" w:eastAsia="Aptos Narrow" w:hAnsi="Aptos Narrow" w:cs="Aptos Narrow"/>
          <w:sz w:val="72"/>
          <w:szCs w:val="72"/>
        </w:rPr>
        <w:t>UFCF7S-30-2</w:t>
      </w:r>
      <w:r w:rsidRPr="706CFDEB">
        <w:rPr>
          <w:rFonts w:ascii="Aptos Narrow" w:eastAsia="Aptos Narrow" w:hAnsi="Aptos Narrow" w:cs="Aptos Narrow"/>
          <w:b/>
          <w:bCs/>
          <w:sz w:val="72"/>
          <w:szCs w:val="72"/>
        </w:rPr>
        <w:t xml:space="preserve"> - </w:t>
      </w:r>
      <w:r w:rsidR="2BBBF9F3" w:rsidRPr="706CFDEB">
        <w:rPr>
          <w:rFonts w:ascii="Aptos Narrow" w:eastAsia="Aptos Narrow" w:hAnsi="Aptos Narrow" w:cs="Aptos Narrow"/>
          <w:sz w:val="72"/>
          <w:szCs w:val="72"/>
        </w:rPr>
        <w:t>Systems Development Group Project</w:t>
      </w:r>
      <w:r w:rsidRPr="706CFDEB">
        <w:rPr>
          <w:rFonts w:ascii="Aptos Narrow" w:eastAsia="Aptos Narrow" w:hAnsi="Aptos Narrow" w:cs="Aptos Narrow"/>
          <w:b/>
          <w:bCs/>
          <w:sz w:val="72"/>
          <w:szCs w:val="72"/>
        </w:rPr>
        <w:t>]</w:t>
      </w:r>
    </w:p>
    <w:p w14:paraId="3DB40156" w14:textId="0950A2E5" w:rsidR="00E951FE" w:rsidRDefault="0C141387" w:rsidP="706CFDEB">
      <w:pPr>
        <w:spacing w:after="120" w:line="312" w:lineRule="auto"/>
        <w:jc w:val="center"/>
        <w:rPr>
          <w:rFonts w:ascii="Aptos Narrow" w:eastAsia="Aptos Narrow" w:hAnsi="Aptos Narrow" w:cs="Aptos Narrow"/>
          <w:b/>
          <w:bCs/>
          <w:color w:val="C00000"/>
          <w:sz w:val="52"/>
          <w:szCs w:val="52"/>
        </w:rPr>
      </w:pPr>
      <w:r w:rsidRPr="706CFDEB">
        <w:rPr>
          <w:rFonts w:ascii="Aptos Narrow" w:eastAsia="Aptos Narrow" w:hAnsi="Aptos Narrow" w:cs="Aptos Narrow"/>
          <w:b/>
          <w:bCs/>
          <w:color w:val="006989"/>
          <w:sz w:val="44"/>
          <w:szCs w:val="44"/>
        </w:rPr>
        <w:t>MAIN REPORT</w:t>
      </w:r>
      <w:r w:rsidR="4D72CE60" w:rsidRPr="706CFDEB">
        <w:rPr>
          <w:rFonts w:ascii="Aptos Narrow" w:eastAsia="Aptos Narrow" w:hAnsi="Aptos Narrow" w:cs="Aptos Narrow"/>
          <w:b/>
          <w:bCs/>
          <w:color w:val="006989"/>
          <w:sz w:val="44"/>
          <w:szCs w:val="44"/>
        </w:rPr>
        <w:t xml:space="preserve"> AND INDIVIDUAL REFLECTIONS</w:t>
      </w:r>
      <w:r w:rsidR="007B1950">
        <w:br/>
      </w:r>
    </w:p>
    <w:p w14:paraId="4F303FAF" w14:textId="700B00D2" w:rsidR="00E951FE" w:rsidRDefault="26A15CA4" w:rsidP="706CFDEB">
      <w:pPr>
        <w:spacing w:after="120" w:line="312" w:lineRule="auto"/>
        <w:jc w:val="center"/>
        <w:rPr>
          <w:rFonts w:ascii="Aptos Display" w:eastAsia="Aptos Display" w:hAnsi="Aptos Display" w:cs="Aptos Display"/>
          <w:b/>
          <w:bCs/>
          <w:color w:val="006989"/>
          <w:sz w:val="40"/>
          <w:szCs w:val="40"/>
        </w:rPr>
      </w:pPr>
      <w:r w:rsidRPr="706CFDEB">
        <w:rPr>
          <w:rFonts w:ascii="Aptos Display" w:eastAsia="Aptos Display" w:hAnsi="Aptos Display" w:cs="Aptos Display"/>
          <w:b/>
          <w:bCs/>
          <w:color w:val="006989"/>
          <w:sz w:val="40"/>
          <w:szCs w:val="40"/>
        </w:rPr>
        <w:t xml:space="preserve">STUDENT NUMBER </w:t>
      </w:r>
      <w:r w:rsidR="4D28E800" w:rsidRPr="706CFDEB">
        <w:rPr>
          <w:rFonts w:ascii="Aptos Display" w:eastAsia="Aptos Display" w:hAnsi="Aptos Display" w:cs="Aptos Display"/>
          <w:b/>
          <w:bCs/>
          <w:color w:val="006989"/>
          <w:sz w:val="40"/>
          <w:szCs w:val="40"/>
        </w:rPr>
        <w:t>1</w:t>
      </w:r>
      <w:r w:rsidRPr="706CFDEB">
        <w:rPr>
          <w:rFonts w:ascii="Aptos Display" w:eastAsia="Aptos Display" w:hAnsi="Aptos Display" w:cs="Aptos Display"/>
          <w:b/>
          <w:bCs/>
          <w:color w:val="006989"/>
          <w:sz w:val="40"/>
          <w:szCs w:val="40"/>
        </w:rPr>
        <w:t xml:space="preserve">: </w:t>
      </w:r>
      <w:r w:rsidR="2CE1ADAF" w:rsidRPr="706CFDEB">
        <w:rPr>
          <w:rFonts w:ascii="Aptos Display" w:eastAsia="Aptos Display" w:hAnsi="Aptos Display" w:cs="Aptos Display"/>
          <w:b/>
          <w:bCs/>
          <w:color w:val="006989"/>
          <w:sz w:val="40"/>
          <w:szCs w:val="40"/>
        </w:rPr>
        <w:t>2430388</w:t>
      </w:r>
    </w:p>
    <w:p w14:paraId="683D8F9F" w14:textId="19D692FE" w:rsidR="00E951FE" w:rsidRDefault="2D890EDA" w:rsidP="6F8ECBF0">
      <w:pPr>
        <w:spacing w:after="120" w:line="312" w:lineRule="auto"/>
        <w:jc w:val="center"/>
        <w:rPr>
          <w:rFonts w:ascii="Aptos Display" w:eastAsia="Aptos Display" w:hAnsi="Aptos Display" w:cs="Aptos Display"/>
          <w:b/>
          <w:bCs/>
          <w:color w:val="006989"/>
          <w:sz w:val="40"/>
          <w:szCs w:val="40"/>
        </w:rPr>
      </w:pPr>
      <w:r w:rsidRPr="6F8ECBF0">
        <w:rPr>
          <w:rFonts w:ascii="Aptos Display" w:eastAsia="Aptos Display" w:hAnsi="Aptos Display" w:cs="Aptos Display"/>
          <w:b/>
          <w:bCs/>
          <w:color w:val="006989"/>
          <w:sz w:val="40"/>
          <w:szCs w:val="40"/>
        </w:rPr>
        <w:t xml:space="preserve">STUDENT NUMBER </w:t>
      </w:r>
      <w:r w:rsidR="6F11F305" w:rsidRPr="6F8ECBF0">
        <w:rPr>
          <w:rFonts w:ascii="Aptos Display" w:eastAsia="Aptos Display" w:hAnsi="Aptos Display" w:cs="Aptos Display"/>
          <w:b/>
          <w:bCs/>
          <w:color w:val="006989"/>
          <w:sz w:val="40"/>
          <w:szCs w:val="40"/>
        </w:rPr>
        <w:t xml:space="preserve">2: </w:t>
      </w:r>
      <w:r w:rsidRPr="6F8ECBF0">
        <w:rPr>
          <w:rFonts w:ascii="Aptos Display" w:eastAsia="Aptos Display" w:hAnsi="Aptos Display" w:cs="Aptos Display"/>
          <w:b/>
          <w:bCs/>
          <w:color w:val="006989"/>
          <w:sz w:val="40"/>
          <w:szCs w:val="40"/>
        </w:rPr>
        <w:t>2</w:t>
      </w:r>
      <w:r w:rsidR="7398E811" w:rsidRPr="6F8ECBF0">
        <w:rPr>
          <w:rFonts w:ascii="Aptos Display" w:eastAsia="Aptos Display" w:hAnsi="Aptos Display" w:cs="Aptos Display"/>
          <w:b/>
          <w:bCs/>
          <w:color w:val="006989"/>
          <w:sz w:val="40"/>
          <w:szCs w:val="40"/>
        </w:rPr>
        <w:t>4063400</w:t>
      </w:r>
    </w:p>
    <w:p w14:paraId="478F96E3" w14:textId="744652A8" w:rsidR="00E951FE" w:rsidRDefault="2D890EDA" w:rsidP="706CFDEB">
      <w:pPr>
        <w:spacing w:after="120" w:line="312" w:lineRule="auto"/>
        <w:jc w:val="center"/>
        <w:rPr>
          <w:rFonts w:ascii="Aptos Display" w:eastAsia="Aptos Display" w:hAnsi="Aptos Display" w:cs="Aptos Display"/>
          <w:color w:val="006989"/>
          <w:sz w:val="40"/>
          <w:szCs w:val="40"/>
        </w:rPr>
      </w:pPr>
      <w:r w:rsidRPr="706CFDEB">
        <w:rPr>
          <w:rFonts w:ascii="Aptos Display" w:eastAsia="Aptos Display" w:hAnsi="Aptos Display" w:cs="Aptos Display"/>
          <w:b/>
          <w:bCs/>
          <w:color w:val="006989"/>
          <w:sz w:val="40"/>
          <w:szCs w:val="40"/>
        </w:rPr>
        <w:t xml:space="preserve">STUDENT NUMBER 3: </w:t>
      </w:r>
      <w:r w:rsidR="007B1950">
        <w:rPr>
          <w:rFonts w:ascii="Arial" w:eastAsia="Aptos Display" w:hAnsi="Arial" w:cs="Arial" w:hint="cs"/>
          <w:b/>
          <w:bCs/>
          <w:color w:val="006989"/>
          <w:sz w:val="40"/>
          <w:szCs w:val="40"/>
          <w:lang w:bidi="ar-DZ"/>
        </w:rPr>
        <w:t>24018717</w:t>
      </w:r>
    </w:p>
    <w:p w14:paraId="1280FA8C" w14:textId="59D08726" w:rsidR="00E951FE" w:rsidRDefault="2D890EDA" w:rsidP="706CFDEB">
      <w:pPr>
        <w:spacing w:after="120" w:line="312" w:lineRule="auto"/>
        <w:jc w:val="center"/>
        <w:rPr>
          <w:rFonts w:ascii="Aptos Display" w:eastAsia="Aptos Display" w:hAnsi="Aptos Display" w:cs="Aptos Display"/>
          <w:b/>
          <w:bCs/>
          <w:color w:val="006989"/>
          <w:sz w:val="40"/>
          <w:szCs w:val="40"/>
        </w:rPr>
      </w:pPr>
      <w:r w:rsidRPr="706CFDEB">
        <w:rPr>
          <w:rFonts w:ascii="Aptos Display" w:eastAsia="Aptos Display" w:hAnsi="Aptos Display" w:cs="Aptos Display"/>
          <w:b/>
          <w:bCs/>
          <w:color w:val="006989"/>
          <w:sz w:val="40"/>
          <w:szCs w:val="40"/>
        </w:rPr>
        <w:t xml:space="preserve">STUDENT NUMBER 4: </w:t>
      </w:r>
    </w:p>
    <w:p w14:paraId="2EDF4D8B" w14:textId="78C838F8" w:rsidR="00E951FE" w:rsidRDefault="2D890EDA" w:rsidP="706CFDEB">
      <w:pPr>
        <w:spacing w:after="120" w:line="312" w:lineRule="auto"/>
        <w:jc w:val="center"/>
        <w:rPr>
          <w:rFonts w:ascii="Aptos Display" w:eastAsia="Aptos Display" w:hAnsi="Aptos Display" w:cs="Aptos Display"/>
          <w:color w:val="006989"/>
          <w:sz w:val="40"/>
          <w:szCs w:val="40"/>
        </w:rPr>
      </w:pPr>
      <w:r w:rsidRPr="706CFDEB">
        <w:rPr>
          <w:rFonts w:ascii="Aptos Display" w:eastAsia="Aptos Display" w:hAnsi="Aptos Display" w:cs="Aptos Display"/>
          <w:b/>
          <w:bCs/>
          <w:color w:val="006989"/>
          <w:sz w:val="40"/>
          <w:szCs w:val="40"/>
        </w:rPr>
        <w:t>STUDENT NUMBER 5: 23010646</w:t>
      </w:r>
    </w:p>
    <w:p w14:paraId="20C9F203" w14:textId="0B6D4C95" w:rsidR="00E951FE" w:rsidRDefault="00E951FE" w:rsidP="706CFDEB">
      <w:pPr>
        <w:spacing w:after="120" w:line="312" w:lineRule="auto"/>
        <w:jc w:val="center"/>
        <w:rPr>
          <w:rFonts w:ascii="Aptos Display" w:eastAsia="Aptos Display" w:hAnsi="Aptos Display" w:cs="Aptos Display"/>
          <w:b/>
          <w:bCs/>
          <w:color w:val="006989"/>
          <w:sz w:val="40"/>
          <w:szCs w:val="40"/>
        </w:rPr>
      </w:pPr>
    </w:p>
    <w:p w14:paraId="163D4CBA" w14:textId="23C3B3E6" w:rsidR="00E951FE" w:rsidRDefault="26A15CA4" w:rsidP="706CFDEB">
      <w:pPr>
        <w:spacing w:after="120" w:line="312" w:lineRule="auto"/>
        <w:jc w:val="center"/>
        <w:rPr>
          <w:rFonts w:ascii="Aptos Display" w:eastAsia="Aptos Display" w:hAnsi="Aptos Display" w:cs="Aptos Display"/>
          <w:b/>
          <w:bCs/>
          <w:color w:val="006989"/>
          <w:sz w:val="36"/>
          <w:szCs w:val="36"/>
          <w:lang w:val="fr-FR"/>
        </w:rPr>
      </w:pPr>
      <w:r w:rsidRPr="706CFDEB">
        <w:rPr>
          <w:rFonts w:asciiTheme="majorHAnsi" w:eastAsiaTheme="majorEastAsia" w:hAnsiTheme="majorHAnsi" w:cstheme="majorBidi"/>
          <w:b/>
          <w:bCs/>
          <w:color w:val="156082" w:themeColor="accent1"/>
          <w:sz w:val="36"/>
          <w:szCs w:val="36"/>
          <w:lang w:val="fr-FR"/>
        </w:rPr>
        <w:t xml:space="preserve">MODULE </w:t>
      </w:r>
      <w:r w:rsidR="2EAE4A7F" w:rsidRPr="706CFDEB">
        <w:rPr>
          <w:rFonts w:asciiTheme="majorHAnsi" w:eastAsiaTheme="majorEastAsia" w:hAnsiTheme="majorHAnsi" w:cstheme="majorBidi"/>
          <w:b/>
          <w:bCs/>
          <w:color w:val="156082" w:themeColor="accent1"/>
          <w:sz w:val="36"/>
          <w:szCs w:val="36"/>
          <w:lang w:val="fr-FR"/>
        </w:rPr>
        <w:t>LEADERS</w:t>
      </w:r>
      <w:r w:rsidR="3A3087E9" w:rsidRPr="706CFDEB">
        <w:rPr>
          <w:rFonts w:asciiTheme="majorHAnsi" w:eastAsiaTheme="majorEastAsia" w:hAnsiTheme="majorHAnsi" w:cstheme="majorBidi"/>
          <w:b/>
          <w:bCs/>
          <w:color w:val="156082" w:themeColor="accent1"/>
          <w:sz w:val="36"/>
          <w:szCs w:val="36"/>
          <w:lang w:val="fr-FR"/>
        </w:rPr>
        <w:t xml:space="preserve"> </w:t>
      </w:r>
      <w:r w:rsidR="2EAE4A7F" w:rsidRPr="706CFDEB">
        <w:rPr>
          <w:rFonts w:asciiTheme="majorHAnsi" w:eastAsiaTheme="majorEastAsia" w:hAnsiTheme="majorHAnsi" w:cstheme="majorBidi"/>
          <w:b/>
          <w:bCs/>
          <w:color w:val="156082" w:themeColor="accent1"/>
          <w:sz w:val="36"/>
          <w:szCs w:val="36"/>
          <w:lang w:val="fr-FR"/>
        </w:rPr>
        <w:t>:</w:t>
      </w:r>
      <w:r w:rsidR="3A3087E9" w:rsidRPr="706CFDEB">
        <w:rPr>
          <w:rFonts w:asciiTheme="majorHAnsi" w:eastAsiaTheme="majorEastAsia" w:hAnsiTheme="majorHAnsi" w:cstheme="majorBidi"/>
          <w:b/>
          <w:bCs/>
          <w:color w:val="156082" w:themeColor="accent1"/>
          <w:sz w:val="36"/>
          <w:szCs w:val="36"/>
          <w:lang w:val="fr-FR"/>
        </w:rPr>
        <w:t xml:space="preserve"> </w:t>
      </w:r>
      <w:r w:rsidR="45806E86" w:rsidRPr="706CFDEB">
        <w:rPr>
          <w:rFonts w:asciiTheme="majorHAnsi" w:eastAsiaTheme="majorEastAsia" w:hAnsiTheme="majorHAnsi" w:cstheme="majorBidi"/>
          <w:b/>
          <w:bCs/>
          <w:color w:val="156082" w:themeColor="accent1"/>
          <w:sz w:val="36"/>
          <w:szCs w:val="36"/>
          <w:lang w:val="fr-FR"/>
        </w:rPr>
        <w:t>Elias Pimenidis &amp; Shelan Jeawak</w:t>
      </w:r>
      <w:r w:rsidR="45806E86" w:rsidRPr="706CFDEB">
        <w:rPr>
          <w:rFonts w:ascii="Aptos Display" w:eastAsia="Aptos Display" w:hAnsi="Aptos Display" w:cs="Aptos Display"/>
          <w:b/>
          <w:bCs/>
          <w:sz w:val="36"/>
          <w:szCs w:val="36"/>
          <w:lang w:val="fr-FR"/>
        </w:rPr>
        <w:t xml:space="preserve"> </w:t>
      </w:r>
    </w:p>
    <w:p w14:paraId="5E5787A5" w14:textId="6829BD86" w:rsidR="00E951FE" w:rsidRDefault="00E951FE"/>
    <w:p w14:paraId="64BDDCF0" w14:textId="26805394" w:rsidR="706CFDEB" w:rsidRDefault="706CFDEB"/>
    <w:p w14:paraId="765DB831" w14:textId="7A8965C9" w:rsidR="706CFDEB" w:rsidRDefault="706CFDEB" w:rsidP="706CFDEB"/>
    <w:p w14:paraId="774FB3DC" w14:textId="2C6BF1C1" w:rsidR="706CFDEB" w:rsidRDefault="746CCF7E"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INTRODUCTION (300 WORDS)</w:t>
      </w:r>
    </w:p>
    <w:p w14:paraId="5C286F62" w14:textId="4D5A30C9" w:rsidR="706CFDEB" w:rsidRDefault="5EABAB26" w:rsidP="6F8ECBF0">
      <w:pPr>
        <w:spacing w:before="240" w:after="240"/>
      </w:pPr>
      <w:r w:rsidRPr="6F8ECBF0">
        <w:t>Bristol Pink Cafe, a rapidly growing bakery chain with five locations across the Bristol region, faces an acute challenge in managing inventory for perishable products. The nature of bakery operations where unsold goods are discarded daily creates a persistent tension between maintaining product availability and minimizing costly food waste. Overestimating demand leads to unnecessary financial losses and environmental impact, while underestimating disrupts customer satisfaction due to frequent stock-outs. Sector research estimates that food retail businesses waste between 5–15% of daily production, with bakeries particularly vulnerable due to limited shelf life and dynamic consumer preferences</w:t>
      </w:r>
      <w:r w:rsidR="3EE6F870" w:rsidRPr="6F8ECBF0">
        <w:t xml:space="preserve"> (IEEP (2025)</w:t>
      </w:r>
      <w:r w:rsidRPr="6F8ECBF0">
        <w:t>.</w:t>
      </w:r>
    </w:p>
    <w:p w14:paraId="70118595" w14:textId="47B53EE8" w:rsidR="706CFDEB" w:rsidRDefault="5EABAB26" w:rsidP="6F8ECBF0">
      <w:pPr>
        <w:spacing w:before="240" w:after="240"/>
      </w:pPr>
      <w:r w:rsidRPr="6F8ECBF0">
        <w:t>To address these issues, Bristol Pink Cafe has initiated the design and deployment of an intelligent forecasting dashboard. Leveraging advanced time series analysis and machine learning algorithms, this system ingests historical sales data to generate near-term sales predictions for key bakery and coffee products. The envisioned dashboard, developed using modern data science tools in Python and deployed via Streamlit, equips managers not only to visualize multi-week sales trends but also to adjust forecasting parameters</w:t>
      </w:r>
      <w:r w:rsidR="63902BCA" w:rsidRPr="6F8ECBF0">
        <w:t xml:space="preserve">, </w:t>
      </w:r>
      <w:r w:rsidRPr="6F8ECBF0">
        <w:t>such as training periods and selected algorithms (Prophet, ARIMA) enabling evidence-based and adaptive inventory planning.</w:t>
      </w:r>
    </w:p>
    <w:p w14:paraId="50B34095" w14:textId="12140C78" w:rsidR="706CFDEB" w:rsidRDefault="5EABAB26" w:rsidP="6F8ECBF0">
      <w:pPr>
        <w:spacing w:before="240" w:after="240"/>
      </w:pPr>
      <w:r w:rsidRPr="6F8ECBF0">
        <w:t>This project delivers on strategic business objectives: reducing food wastage in line with sustainability commitments, enhancing profitability through smarter purchasing, and supporting managerial decision-making with data-driven insights. The solution further exemplifies industry best practices by implementing robust validation and error handling, clear performance and accuracy targets, and inclusive usability/accessibility requirements.</w:t>
      </w:r>
    </w:p>
    <w:p w14:paraId="2952E11C" w14:textId="6C4C4A96" w:rsidR="706CFDEB" w:rsidRDefault="5EABAB26" w:rsidP="6F8ECBF0">
      <w:pPr>
        <w:spacing w:before="240" w:after="240"/>
      </w:pPr>
      <w:r w:rsidRPr="6F8ECBF0">
        <w:t xml:space="preserve">The report details the entire development lifecycle: from requirements engineering and literature synthesis, through system design (UML </w:t>
      </w:r>
      <w:r w:rsidR="4B8CFE97" w:rsidRPr="6F8ECBF0">
        <w:t>modelling</w:t>
      </w:r>
      <w:r w:rsidRPr="6F8ECBF0">
        <w:t>, UI/UX wireframes, database schema), algorithm implementation and rigorous testing, to final evaluation and future enhancement opportunities. The scope cent</w:t>
      </w:r>
      <w:r w:rsidR="006610E0">
        <w:t>e</w:t>
      </w:r>
      <w:r w:rsidR="004F60E8">
        <w:t>r</w:t>
      </w:r>
      <w:r w:rsidRPr="6F8ECBF0">
        <w:t xml:space="preserve">s on prediction and visualization capabilities; inventory automation and integration with supply chain systems are considered for subsequent development phases. Section 2 presents critical project aims and SMART objectives; Section 3 </w:t>
      </w:r>
      <w:r w:rsidR="7E33DD56" w:rsidRPr="6F8ECBF0">
        <w:t>includ</w:t>
      </w:r>
      <w:r w:rsidRPr="6F8ECBF0">
        <w:t>es relevant research</w:t>
      </w:r>
      <w:r w:rsidR="1E8E7201" w:rsidRPr="6F8ECBF0">
        <w:t xml:space="preserve"> on this topic</w:t>
      </w:r>
      <w:r w:rsidRPr="6F8ECBF0">
        <w:t xml:space="preserve">; Sections </w:t>
      </w:r>
      <w:r w:rsidR="059FF6C8" w:rsidRPr="6F8ECBF0">
        <w:t>4 describes</w:t>
      </w:r>
      <w:r w:rsidRPr="6F8ECBF0">
        <w:t xml:space="preserve"> requirements and</w:t>
      </w:r>
      <w:r w:rsidR="42C9CACA" w:rsidRPr="6F8ECBF0">
        <w:t xml:space="preserve"> 5</w:t>
      </w:r>
      <w:r w:rsidRPr="6F8ECBF0">
        <w:t xml:space="preserve"> project planning; Section 6 covers architecture and design</w:t>
      </w:r>
      <w:r w:rsidR="74F2BB2C" w:rsidRPr="6F8ECBF0">
        <w:t xml:space="preserve"> of the system</w:t>
      </w:r>
      <w:r w:rsidRPr="6F8ECBF0">
        <w:t>; Section 7 analyzes implementation and results; Section 8 provides evaluation and reflection.</w:t>
      </w:r>
    </w:p>
    <w:p w14:paraId="2713B4B7" w14:textId="06E7095D" w:rsidR="706CFDEB" w:rsidRDefault="706CFDEB" w:rsidP="6F8ECBF0">
      <w:pPr>
        <w:rPr>
          <w:rFonts w:asciiTheme="majorHAnsi" w:eastAsiaTheme="majorEastAsia" w:hAnsiTheme="majorHAnsi" w:cstheme="majorBidi"/>
          <w:sz w:val="32"/>
          <w:szCs w:val="32"/>
        </w:rPr>
      </w:pPr>
    </w:p>
    <w:p w14:paraId="3668E1F2" w14:textId="3F75BB67" w:rsidR="706CFDEB" w:rsidRDefault="2EEDB6E9" w:rsidP="6F8ECBF0">
      <w:pPr>
        <w:rPr>
          <w:rFonts w:asciiTheme="majorHAnsi" w:eastAsiaTheme="majorEastAsia" w:hAnsiTheme="majorHAnsi" w:cstheme="majorBidi"/>
          <w:sz w:val="36"/>
          <w:szCs w:val="36"/>
        </w:rPr>
      </w:pPr>
      <w:r w:rsidRPr="6F8ECBF0">
        <w:rPr>
          <w:rFonts w:asciiTheme="majorHAnsi" w:eastAsiaTheme="majorEastAsia" w:hAnsiTheme="majorHAnsi" w:cstheme="majorBidi"/>
          <w:sz w:val="36"/>
          <w:szCs w:val="36"/>
        </w:rPr>
        <w:t>AIM &amp; OBJECTIVES (</w:t>
      </w:r>
      <w:r w:rsidR="2D83F345" w:rsidRPr="6F8ECBF0">
        <w:rPr>
          <w:rFonts w:asciiTheme="majorHAnsi" w:eastAsiaTheme="majorEastAsia" w:hAnsiTheme="majorHAnsi" w:cstheme="majorBidi"/>
          <w:sz w:val="36"/>
          <w:szCs w:val="36"/>
        </w:rPr>
        <w:t xml:space="preserve">400 </w:t>
      </w:r>
      <w:r w:rsidRPr="6F8ECBF0">
        <w:rPr>
          <w:rFonts w:asciiTheme="majorHAnsi" w:eastAsiaTheme="majorEastAsia" w:hAnsiTheme="majorHAnsi" w:cstheme="majorBidi"/>
          <w:sz w:val="36"/>
          <w:szCs w:val="36"/>
        </w:rPr>
        <w:t>WORDS)</w:t>
      </w:r>
    </w:p>
    <w:p w14:paraId="55A1AFD3" w14:textId="64F94F11" w:rsidR="706CFDEB" w:rsidRDefault="0187B6DC" w:rsidP="6F8ECBF0">
      <w:pPr>
        <w:pStyle w:val="Heading2"/>
        <w:spacing w:before="299" w:after="299"/>
        <w:rPr>
          <w:rFonts w:ascii="Aptos Display" w:eastAsia="Aptos Display" w:hAnsi="Aptos Display" w:cs="Aptos Display"/>
          <w:color w:val="auto"/>
        </w:rPr>
      </w:pPr>
      <w:r w:rsidRPr="6F8ECBF0">
        <w:rPr>
          <w:rFonts w:ascii="Aptos Display" w:eastAsia="Aptos Display" w:hAnsi="Aptos Display" w:cs="Aptos Display"/>
          <w:color w:val="auto"/>
        </w:rPr>
        <w:t>Overall Aim</w:t>
      </w:r>
    </w:p>
    <w:p w14:paraId="5A2944AD" w14:textId="3C605C6D" w:rsidR="706CFDEB" w:rsidRDefault="0187B6DC" w:rsidP="6F8ECBF0">
      <w:pPr>
        <w:spacing w:before="240" w:after="240"/>
      </w:pPr>
      <w:r w:rsidRPr="6F8ECBF0">
        <w:t>The overarching aim is to design, implement, and evaluate an intelligent forecasting dashboard that supports Bristol Pink Café managers in decision-making by reducing food waste and optimising inventory purchases using advanced data analytics and machine learning, delivered as a deployable system by the end of the project timeline.</w:t>
      </w:r>
    </w:p>
    <w:p w14:paraId="096BE04A" w14:textId="670348B8" w:rsidR="706CFDEB" w:rsidRDefault="0187B6DC" w:rsidP="6F8ECBF0">
      <w:pPr>
        <w:pStyle w:val="Heading2"/>
        <w:spacing w:before="299" w:after="299"/>
        <w:rPr>
          <w:rFonts w:ascii="Aptos Display" w:eastAsia="Aptos Display" w:hAnsi="Aptos Display" w:cs="Aptos Display"/>
          <w:color w:val="auto"/>
        </w:rPr>
      </w:pPr>
      <w:r w:rsidRPr="6F8ECBF0">
        <w:rPr>
          <w:rFonts w:ascii="Aptos Display" w:eastAsia="Aptos Display" w:hAnsi="Aptos Display" w:cs="Aptos Display"/>
          <w:color w:val="auto"/>
        </w:rPr>
        <w:t>SMART Objectives</w:t>
      </w:r>
    </w:p>
    <w:p w14:paraId="2AF4F144" w14:textId="1A334F8D" w:rsidR="706CFDEB" w:rsidRDefault="0187B6DC" w:rsidP="6F8ECBF0">
      <w:pPr>
        <w:spacing w:before="240" w:after="240"/>
        <w:rPr>
          <w:rFonts w:asciiTheme="majorHAnsi" w:eastAsiaTheme="majorEastAsia" w:hAnsiTheme="majorHAnsi" w:cstheme="majorBidi"/>
          <w:sz w:val="28"/>
          <w:szCs w:val="28"/>
        </w:rPr>
      </w:pPr>
      <w:r w:rsidRPr="6F8ECBF0">
        <w:rPr>
          <w:rFonts w:asciiTheme="majorHAnsi" w:eastAsiaTheme="majorEastAsia" w:hAnsiTheme="majorHAnsi" w:cstheme="majorBidi"/>
          <w:sz w:val="28"/>
          <w:szCs w:val="28"/>
        </w:rPr>
        <w:t>Objective 1: Data Ingestion and Preprocessing (Week 3)</w:t>
      </w:r>
    </w:p>
    <w:p w14:paraId="7B23ADE1" w14:textId="07D3BDA9" w:rsidR="706CFDEB" w:rsidRDefault="0187B6DC" w:rsidP="6F8ECBF0">
      <w:pPr>
        <w:spacing w:before="240" w:after="240"/>
      </w:pPr>
      <w:r w:rsidRPr="6F8ECBF0">
        <w:t>Develop a robust data ingestion module that reads, validates, and preprocesses CSV sales data files containing historical transaction records. The system must successfully load sample CSV files containing a minimum of four weeks of transaction data, with comprehensive error handling for missing and malformed data. Success is measured through passing unit tests, successful processing of test datasets without errors, and mentor code review confirmation. This objective directly addresses Requirement FR1 (Read Sales CSV Data) and establishes the essential foundation for all downstream analysis and prediction tasks.</w:t>
      </w:r>
    </w:p>
    <w:p w14:paraId="105C0ACE" w14:textId="2B08DD12" w:rsidR="706CFDEB" w:rsidRDefault="0187B6DC" w:rsidP="6F8ECBF0">
      <w:pPr>
        <w:spacing w:before="240" w:after="240"/>
        <w:rPr>
          <w:b/>
          <w:bCs/>
        </w:rPr>
      </w:pPr>
      <w:r w:rsidRPr="6F8ECBF0">
        <w:rPr>
          <w:b/>
          <w:bCs/>
        </w:rPr>
        <w:t>Objective 2: Historical Data Visualization (Week 5 and Week 8)</w:t>
      </w:r>
    </w:p>
    <w:p w14:paraId="70B40341" w14:textId="3F95258E" w:rsidR="706CFDEB" w:rsidRDefault="0187B6DC" w:rsidP="6F8ECBF0">
      <w:pPr>
        <w:spacing w:before="240" w:after="240"/>
      </w:pPr>
      <w:r w:rsidRPr="6F8ECBF0">
        <w:t>Design and implement an interactive dashboard displaying historical sales trends for the top three food items and top two coffee products using appropriate graphical representations. The dashboard must display six distinct charts showing a minimum of four weeks of sales data with clear axes, legends, and labels. Success is verified through UI checklists confirming all elements are present, peer review feedback forms achieving clarity confirmation, and mentor sign-off. This objective fulfils Requirements FR2 (Display Top 3 Products) and FR3 (Sales Fluctuation Graph), providing stakeholders with visual insights into sales patterns and trend variability.</w:t>
      </w:r>
    </w:p>
    <w:p w14:paraId="5C288396" w14:textId="0014E99D" w:rsidR="706CFDEB" w:rsidRDefault="706CFDEB" w:rsidP="6F8ECBF0">
      <w:pPr>
        <w:spacing w:before="240" w:after="240"/>
      </w:pPr>
    </w:p>
    <w:p w14:paraId="232496D6" w14:textId="2E47E8C1" w:rsidR="706CFDEB" w:rsidRDefault="706CFDEB" w:rsidP="6F8ECBF0">
      <w:pPr>
        <w:spacing w:before="240" w:after="240"/>
      </w:pPr>
    </w:p>
    <w:p w14:paraId="0653E24D" w14:textId="718D597B" w:rsidR="706CFDEB" w:rsidRDefault="0187B6DC" w:rsidP="6F8ECBF0">
      <w:pPr>
        <w:spacing w:before="240" w:after="240"/>
        <w:rPr>
          <w:b/>
          <w:bCs/>
        </w:rPr>
      </w:pPr>
      <w:r w:rsidRPr="6F8ECBF0">
        <w:rPr>
          <w:b/>
          <w:bCs/>
        </w:rPr>
        <w:t>Objective 3: Predictive Model Development (Week 7–10)</w:t>
      </w:r>
    </w:p>
    <w:p w14:paraId="633C3DC7" w14:textId="35EBD28F" w:rsidR="706CFDEB" w:rsidRDefault="0187B6DC" w:rsidP="6F8ECBF0">
      <w:pPr>
        <w:spacing w:before="240" w:after="240"/>
      </w:pPr>
      <w:r w:rsidRPr="6F8ECBF0">
        <w:t>Select, train, and evaluate at least one suitable time series or machine learning algorithm to forecast four-week sales volumes for key products. The model must generate 28-day predictions with Mean Absolute Percentage Error (MAPE) ≤ 35% on held-out test data by Week 10. Success is verified through model evaluation scripts outputting MAPE calculations, prediction CSV files containing 28 days of forecasts, and algorithm performance reports documenting results. This objective directly addresses Requirement FR4 (Sales Prediction) and represents the core technical requirement impacting inventory optimization and waste reduction goals.</w:t>
      </w:r>
    </w:p>
    <w:p w14:paraId="338EA900" w14:textId="0F6E6E10" w:rsidR="706CFDEB" w:rsidRDefault="0187B6DC" w:rsidP="6F8ECBF0">
      <w:pPr>
        <w:spacing w:before="240" w:after="240"/>
        <w:rPr>
          <w:b/>
          <w:bCs/>
        </w:rPr>
      </w:pPr>
      <w:r w:rsidRPr="6F8ECBF0">
        <w:rPr>
          <w:b/>
          <w:bCs/>
        </w:rPr>
        <w:t>Objective 4: Interactive Prediction Interface (Week 11–12)</w:t>
      </w:r>
    </w:p>
    <w:p w14:paraId="6394F332" w14:textId="35EB25B7" w:rsidR="706CFDEB" w:rsidRDefault="0187B6DC" w:rsidP="6F8ECBF0">
      <w:pPr>
        <w:spacing w:before="240" w:after="240"/>
      </w:pPr>
      <w:r w:rsidRPr="6F8ECBF0">
        <w:t>Implement user-interactive features enabling selection of training periods (4–8 weeks), zoom functionality for date range exploration, and graphical comparison of predictions versus actuals. Users must be able to adjust training periods via slider or dropdown widgets, activate zoom features for detailed date inspection, and view overlayed comparison charts. Success is verified through screen recordings demonstrating all interactive features functioning correctly, feature checklists confirming operational status, and mentor demonstration sessions. This objective addresses Requirements FR5 (Adjust Training Window) and enhances system usability for stakeholder testing of different forecasting scenarios.</w:t>
      </w:r>
    </w:p>
    <w:p w14:paraId="05C45E93" w14:textId="4944AAB9" w:rsidR="706CFDEB" w:rsidRDefault="0187B6DC" w:rsidP="6F8ECBF0">
      <w:pPr>
        <w:spacing w:before="240" w:after="240"/>
        <w:rPr>
          <w:b/>
          <w:bCs/>
        </w:rPr>
      </w:pPr>
      <w:r w:rsidRPr="6F8ECBF0">
        <w:rPr>
          <w:b/>
          <w:bCs/>
        </w:rPr>
        <w:t>Objective 5: Testing, Documentation, and Deployment (Week 12–14)</w:t>
      </w:r>
    </w:p>
    <w:p w14:paraId="27588C80" w14:textId="78745FB2" w:rsidR="706CFDEB" w:rsidRDefault="0187B6DC" w:rsidP="6F8ECBF0">
      <w:pPr>
        <w:spacing w:before="240" w:after="240"/>
      </w:pPr>
      <w:r w:rsidRPr="6F8ECBF0">
        <w:t>Conduct comprehensive system testing against a detailed test plan, complete technical documentation, and prepare the final demonstration with critical evaluation. Testing must cover all functional and non-functional requirements through unit, integration, system, and acceptance testing phases. Documentation includes user guides and technical reports (maximum 6,000 words), with the 18-minute demonstration delivered to project stakeholders. Success is measured against assessment rubric criteria, with all deliverables submitted by the deadline (4 April 2026). This objective ensures system quality, completeness, and readiness for production deployment while fulfilling all academic assessment requirements.</w:t>
      </w:r>
    </w:p>
    <w:p w14:paraId="16FB6BA3" w14:textId="578E7D0B" w:rsidR="706CFDEB" w:rsidRDefault="706CFDEB" w:rsidP="6F8ECBF0">
      <w:pPr>
        <w:rPr>
          <w:rFonts w:asciiTheme="majorHAnsi" w:eastAsiaTheme="majorEastAsia" w:hAnsiTheme="majorHAnsi" w:cstheme="majorBidi"/>
          <w:sz w:val="32"/>
          <w:szCs w:val="32"/>
        </w:rPr>
      </w:pPr>
    </w:p>
    <w:p w14:paraId="0C37B4A0" w14:textId="62B8699C" w:rsidR="706CFDEB" w:rsidRDefault="706CFDEB" w:rsidP="6F8ECBF0">
      <w:pPr>
        <w:rPr>
          <w:rFonts w:asciiTheme="majorHAnsi" w:eastAsiaTheme="majorEastAsia" w:hAnsiTheme="majorHAnsi" w:cstheme="majorBidi"/>
          <w:sz w:val="32"/>
          <w:szCs w:val="32"/>
        </w:rPr>
      </w:pPr>
    </w:p>
    <w:p w14:paraId="0F073117" w14:textId="179A28D9" w:rsidR="706CFDEB" w:rsidRDefault="26B9D1DE"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LITERATURE REVIEW (1500 WORDS)</w:t>
      </w:r>
    </w:p>
    <w:p w14:paraId="1E0BF2D4" w14:textId="4E2A9A45" w:rsidR="706CFDEB" w:rsidRDefault="706CFDEB" w:rsidP="6F8ECBF0">
      <w:pPr>
        <w:rPr>
          <w:rFonts w:asciiTheme="majorHAnsi" w:eastAsiaTheme="majorEastAsia" w:hAnsiTheme="majorHAnsi" w:cstheme="majorBidi"/>
          <w:sz w:val="32"/>
          <w:szCs w:val="32"/>
        </w:rPr>
      </w:pPr>
    </w:p>
    <w:p w14:paraId="77F277C2" w14:textId="74BC4683" w:rsidR="706CFDEB" w:rsidRDefault="26B9D1DE"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REQUIREMENTS (500 WORDS)</w:t>
      </w:r>
    </w:p>
    <w:p w14:paraId="3906701A" w14:textId="56EDCC93" w:rsidR="706CFDEB" w:rsidRDefault="706CFDEB" w:rsidP="6F8ECBF0">
      <w:pPr>
        <w:rPr>
          <w:rFonts w:asciiTheme="majorHAnsi" w:eastAsiaTheme="majorEastAsia" w:hAnsiTheme="majorHAnsi" w:cstheme="majorBidi"/>
          <w:sz w:val="32"/>
          <w:szCs w:val="32"/>
        </w:rPr>
      </w:pPr>
    </w:p>
    <w:p w14:paraId="08E44854" w14:textId="56E4160F" w:rsidR="706CFDEB" w:rsidRDefault="26B9D1DE"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PROJECT PLANNING &amp; TEAM ROLES (500 WORDS + GANTT CHART + RISK REGISTER)</w:t>
      </w:r>
    </w:p>
    <w:p w14:paraId="66738032" w14:textId="1A08B81C" w:rsidR="706CFDEB" w:rsidRDefault="706CFDEB" w:rsidP="6F8ECBF0">
      <w:pPr>
        <w:rPr>
          <w:rFonts w:asciiTheme="majorHAnsi" w:eastAsiaTheme="majorEastAsia" w:hAnsiTheme="majorHAnsi" w:cstheme="majorBidi"/>
          <w:sz w:val="32"/>
          <w:szCs w:val="32"/>
        </w:rPr>
      </w:pPr>
      <w:r>
        <w:br/>
      </w:r>
      <w:r w:rsidR="58C6E28E" w:rsidRPr="6F8ECBF0">
        <w:rPr>
          <w:rFonts w:asciiTheme="majorHAnsi" w:eastAsiaTheme="majorEastAsia" w:hAnsiTheme="majorHAnsi" w:cstheme="majorBidi"/>
          <w:sz w:val="32"/>
          <w:szCs w:val="32"/>
        </w:rPr>
        <w:t xml:space="preserve">DESIGN AND TEST PLAN </w:t>
      </w:r>
      <w:r>
        <w:br/>
      </w:r>
      <w:r w:rsidR="58C6E28E" w:rsidRPr="6F8ECBF0">
        <w:t xml:space="preserve">(USE CASE, CLASS, SEQUENCE </w:t>
      </w:r>
      <w:r w:rsidR="092812AA" w:rsidRPr="6F8ECBF0">
        <w:t>DIAGRAMS, DATABASE</w:t>
      </w:r>
      <w:r w:rsidR="58C6E28E" w:rsidRPr="6F8ECBF0">
        <w:t xml:space="preserve"> SCHEMA (</w:t>
      </w:r>
      <w:r w:rsidR="3AE47958" w:rsidRPr="6F8ECBF0">
        <w:t>ERD</w:t>
      </w:r>
      <w:r w:rsidR="662088C1">
        <w:t>).</w:t>
      </w:r>
      <w:r w:rsidR="3AE47958" w:rsidRPr="6F8ECBF0">
        <w:t xml:space="preserve"> ), ALGORITHM</w:t>
      </w:r>
      <w:r w:rsidR="58C6E28E" w:rsidRPr="6F8ECBF0">
        <w:t xml:space="preserve">/ PSEUDOCODE </w:t>
      </w:r>
      <w:r w:rsidR="6F9C5E46" w:rsidRPr="6F8ECBF0">
        <w:t>(e.g. of forecasting model), UI/UX INTERFACE SKETCH)</w:t>
      </w:r>
      <w:r w:rsidR="5D9BFA9B" w:rsidRPr="6F8ECBF0">
        <w:t xml:space="preserve"> </w:t>
      </w:r>
      <w:r w:rsidR="5D9BFA9B" w:rsidRPr="6F8ECBF0">
        <w:rPr>
          <w:rFonts w:asciiTheme="majorHAnsi" w:eastAsiaTheme="majorEastAsia" w:hAnsiTheme="majorHAnsi" w:cstheme="majorBidi"/>
          <w:sz w:val="32"/>
          <w:szCs w:val="32"/>
        </w:rPr>
        <w:t>(TEST STRATEGY, EXAMPLE TEST CASES)</w:t>
      </w:r>
    </w:p>
    <w:p w14:paraId="2D2A77BA" w14:textId="4C43AEDD" w:rsidR="706CFDEB" w:rsidRDefault="706CFDEB" w:rsidP="6F8ECBF0">
      <w:pPr>
        <w:rPr>
          <w:rFonts w:asciiTheme="majorHAnsi" w:eastAsiaTheme="majorEastAsia" w:hAnsiTheme="majorHAnsi" w:cstheme="majorBidi"/>
          <w:sz w:val="32"/>
          <w:szCs w:val="32"/>
        </w:rPr>
      </w:pPr>
    </w:p>
    <w:p w14:paraId="3F55D6FB" w14:textId="5ABF7948" w:rsidR="706CFDEB" w:rsidRDefault="6F9C5E46"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 xml:space="preserve">IMPLEMENTATION AND TESTING (1000 WORDS) TOOLS, TECHNOLOGIES,  </w:t>
      </w:r>
    </w:p>
    <w:p w14:paraId="7F50B4F6" w14:textId="65A6CBBA" w:rsidR="706CFDEB" w:rsidRDefault="706CFDEB" w:rsidP="6F8ECBF0">
      <w:pPr>
        <w:rPr>
          <w:rFonts w:asciiTheme="majorHAnsi" w:eastAsiaTheme="majorEastAsia" w:hAnsiTheme="majorHAnsi" w:cstheme="majorBidi"/>
          <w:sz w:val="32"/>
          <w:szCs w:val="32"/>
        </w:rPr>
      </w:pPr>
    </w:p>
    <w:p w14:paraId="2339EA79" w14:textId="530BC82C" w:rsidR="706CFDEB" w:rsidRDefault="6F9C5E46"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EVALUATION &amp; LESSONS LEARNED (1500 WORDS)</w:t>
      </w:r>
    </w:p>
    <w:p w14:paraId="07DE95C9" w14:textId="5D6F002F" w:rsidR="706CFDEB" w:rsidRDefault="706CFDEB" w:rsidP="6F8ECBF0">
      <w:pPr>
        <w:rPr>
          <w:rFonts w:asciiTheme="majorHAnsi" w:eastAsiaTheme="majorEastAsia" w:hAnsiTheme="majorHAnsi" w:cstheme="majorBidi"/>
          <w:sz w:val="32"/>
          <w:szCs w:val="32"/>
        </w:rPr>
      </w:pPr>
    </w:p>
    <w:p w14:paraId="1DDC2263" w14:textId="5F2EB1C0" w:rsidR="706CFDEB" w:rsidRDefault="6F9C5E46"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INDIVIDUAL ESSAY (800 WORDS EACH)</w:t>
      </w:r>
    </w:p>
    <w:p w14:paraId="2237185A" w14:textId="4BF86B30" w:rsidR="706CFDEB" w:rsidRDefault="706CFDEB" w:rsidP="6F8ECBF0">
      <w:pPr>
        <w:rPr>
          <w:rFonts w:asciiTheme="majorHAnsi" w:eastAsiaTheme="majorEastAsia" w:hAnsiTheme="majorHAnsi" w:cstheme="majorBidi"/>
          <w:sz w:val="32"/>
          <w:szCs w:val="32"/>
        </w:rPr>
      </w:pPr>
    </w:p>
    <w:p w14:paraId="16D216F9" w14:textId="3873AE5F" w:rsidR="706CFDEB" w:rsidRDefault="706CFDEB" w:rsidP="6F8ECBF0">
      <w:pPr>
        <w:rPr>
          <w:rFonts w:asciiTheme="majorHAnsi" w:eastAsiaTheme="majorEastAsia" w:hAnsiTheme="majorHAnsi" w:cstheme="majorBidi"/>
          <w:sz w:val="32"/>
          <w:szCs w:val="32"/>
        </w:rPr>
      </w:pPr>
    </w:p>
    <w:p w14:paraId="4794AA39" w14:textId="773CE419" w:rsidR="706CFDEB" w:rsidRDefault="706CFDEB" w:rsidP="6F8ECBF0">
      <w:pPr>
        <w:rPr>
          <w:rFonts w:asciiTheme="majorHAnsi" w:eastAsiaTheme="majorEastAsia" w:hAnsiTheme="majorHAnsi" w:cstheme="majorBidi"/>
          <w:sz w:val="32"/>
          <w:szCs w:val="32"/>
        </w:rPr>
      </w:pPr>
    </w:p>
    <w:p w14:paraId="4C1BD262" w14:textId="1EF6E4FD" w:rsidR="706CFDEB" w:rsidRDefault="706CFDEB" w:rsidP="6F8ECBF0">
      <w:pPr>
        <w:rPr>
          <w:rFonts w:asciiTheme="majorHAnsi" w:eastAsiaTheme="majorEastAsia" w:hAnsiTheme="majorHAnsi" w:cstheme="majorBidi"/>
          <w:sz w:val="32"/>
          <w:szCs w:val="32"/>
        </w:rPr>
      </w:pPr>
    </w:p>
    <w:p w14:paraId="32BDA4E4" w14:textId="3D7B250B" w:rsidR="6F621E1E" w:rsidRDefault="6F621E1E" w:rsidP="6F621E1E">
      <w:pPr>
        <w:rPr>
          <w:rFonts w:asciiTheme="majorHAnsi" w:eastAsiaTheme="majorEastAsia" w:hAnsiTheme="majorHAnsi" w:cstheme="majorBidi"/>
          <w:sz w:val="32"/>
          <w:szCs w:val="32"/>
        </w:rPr>
      </w:pPr>
    </w:p>
    <w:p w14:paraId="449DE006" w14:textId="38EA8B1D" w:rsidR="3BC5FE8A" w:rsidRDefault="3BC5FE8A" w:rsidP="3BC5FE8A">
      <w:pPr>
        <w:rPr>
          <w:rFonts w:asciiTheme="majorHAnsi" w:eastAsiaTheme="majorEastAsia" w:hAnsiTheme="majorHAnsi" w:cstheme="majorBidi"/>
          <w:sz w:val="32"/>
          <w:szCs w:val="32"/>
        </w:rPr>
      </w:pPr>
    </w:p>
    <w:p w14:paraId="06D8ED00" w14:textId="7E625664" w:rsidR="3BC5FE8A" w:rsidRDefault="3BC5FE8A" w:rsidP="3BC5FE8A">
      <w:pPr>
        <w:rPr>
          <w:rFonts w:asciiTheme="majorHAnsi" w:eastAsiaTheme="majorEastAsia" w:hAnsiTheme="majorHAnsi" w:cstheme="majorBidi"/>
          <w:sz w:val="32"/>
          <w:szCs w:val="32"/>
        </w:rPr>
      </w:pPr>
    </w:p>
    <w:p w14:paraId="17C36AC2" w14:textId="23B310B1" w:rsidR="3BC5FE8A" w:rsidRDefault="3BC5FE8A" w:rsidP="3BC5FE8A">
      <w:pPr>
        <w:rPr>
          <w:rFonts w:asciiTheme="majorHAnsi" w:eastAsiaTheme="majorEastAsia" w:hAnsiTheme="majorHAnsi" w:cstheme="majorBidi"/>
          <w:sz w:val="32"/>
          <w:szCs w:val="32"/>
        </w:rPr>
      </w:pPr>
    </w:p>
    <w:p w14:paraId="69B964F0" w14:textId="0E65CDC0" w:rsidR="706CFDEB" w:rsidRDefault="6F9C5E46" w:rsidP="6F8ECBF0">
      <w:pPr>
        <w:rPr>
          <w:rFonts w:asciiTheme="majorHAnsi" w:eastAsiaTheme="majorEastAsia" w:hAnsiTheme="majorHAnsi" w:cstheme="majorBidi"/>
          <w:sz w:val="32"/>
          <w:szCs w:val="32"/>
        </w:rPr>
      </w:pPr>
      <w:r w:rsidRPr="6F8ECBF0">
        <w:rPr>
          <w:rFonts w:asciiTheme="majorHAnsi" w:eastAsiaTheme="majorEastAsia" w:hAnsiTheme="majorHAnsi" w:cstheme="majorBidi"/>
          <w:sz w:val="32"/>
          <w:szCs w:val="32"/>
        </w:rPr>
        <w:t>REFERENCES</w:t>
      </w:r>
    </w:p>
    <w:p w14:paraId="2BB494AE" w14:textId="2D4802A0" w:rsidR="706CFDEB" w:rsidRDefault="5CB969CE" w:rsidP="6F8ECBF0">
      <w:r w:rsidRPr="6F8ECBF0">
        <w:rPr>
          <w:i/>
          <w:iCs/>
        </w:rPr>
        <w:t xml:space="preserve">IEEP (2025) Addressing food waste in the retail sector. Institute for European Environmental Policy. Available at: </w:t>
      </w:r>
      <w:hyperlink r:id="rId6">
        <w:r w:rsidRPr="6F8ECBF0">
          <w:rPr>
            <w:rStyle w:val="Hyperlink"/>
            <w:i/>
            <w:iCs/>
          </w:rPr>
          <w:t>https://ieep.eu/wp-content/uploads/2025/03/Addressing-food-waste-in-the-retail-sector-IEEP-2025.pdf</w:t>
        </w:r>
      </w:hyperlink>
      <w:r w:rsidRPr="6F8ECBF0">
        <w:rPr>
          <w:i/>
          <w:iCs/>
        </w:rPr>
        <w:t xml:space="preserve"> (Accessed: 23 November 2025).</w:t>
      </w:r>
    </w:p>
    <w:p w14:paraId="444D0DF5" w14:textId="318F0C2C" w:rsidR="706CFDEB" w:rsidRDefault="706CFDEB"/>
    <w:p w14:paraId="32EC3B65" w14:textId="08FA310C" w:rsidR="706CFDEB" w:rsidRDefault="706CFDEB" w:rsidP="706CFDEB"/>
    <w:sectPr w:rsidR="706CFDE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ptos Narrow">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5069"/>
    <w:multiLevelType w:val="hybridMultilevel"/>
    <w:tmpl w:val="FFFFFFFF"/>
    <w:lvl w:ilvl="0" w:tplc="E69ED27E">
      <w:start w:val="1"/>
      <w:numFmt w:val="decimal"/>
      <w:lvlText w:val="%1."/>
      <w:lvlJc w:val="left"/>
      <w:pPr>
        <w:ind w:left="720" w:hanging="360"/>
      </w:pPr>
    </w:lvl>
    <w:lvl w:ilvl="1" w:tplc="B7640074">
      <w:start w:val="1"/>
      <w:numFmt w:val="lowerLetter"/>
      <w:lvlText w:val="%2."/>
      <w:lvlJc w:val="left"/>
      <w:pPr>
        <w:ind w:left="1440" w:hanging="360"/>
      </w:pPr>
    </w:lvl>
    <w:lvl w:ilvl="2" w:tplc="D1CE7820">
      <w:start w:val="1"/>
      <w:numFmt w:val="lowerRoman"/>
      <w:lvlText w:val="%3."/>
      <w:lvlJc w:val="right"/>
      <w:pPr>
        <w:ind w:left="2160" w:hanging="180"/>
      </w:pPr>
    </w:lvl>
    <w:lvl w:ilvl="3" w:tplc="FF088B32">
      <w:start w:val="1"/>
      <w:numFmt w:val="decimal"/>
      <w:lvlText w:val="%4."/>
      <w:lvlJc w:val="left"/>
      <w:pPr>
        <w:ind w:left="2880" w:hanging="360"/>
      </w:pPr>
    </w:lvl>
    <w:lvl w:ilvl="4" w:tplc="818C3618">
      <w:start w:val="1"/>
      <w:numFmt w:val="lowerLetter"/>
      <w:lvlText w:val="%5."/>
      <w:lvlJc w:val="left"/>
      <w:pPr>
        <w:ind w:left="3600" w:hanging="360"/>
      </w:pPr>
    </w:lvl>
    <w:lvl w:ilvl="5" w:tplc="7EFE7716">
      <w:start w:val="1"/>
      <w:numFmt w:val="lowerRoman"/>
      <w:lvlText w:val="%6."/>
      <w:lvlJc w:val="right"/>
      <w:pPr>
        <w:ind w:left="4320" w:hanging="180"/>
      </w:pPr>
    </w:lvl>
    <w:lvl w:ilvl="6" w:tplc="209C53DC">
      <w:start w:val="1"/>
      <w:numFmt w:val="decimal"/>
      <w:lvlText w:val="%7."/>
      <w:lvlJc w:val="left"/>
      <w:pPr>
        <w:ind w:left="5040" w:hanging="360"/>
      </w:pPr>
    </w:lvl>
    <w:lvl w:ilvl="7" w:tplc="8D0A1C8C">
      <w:start w:val="1"/>
      <w:numFmt w:val="lowerLetter"/>
      <w:lvlText w:val="%8."/>
      <w:lvlJc w:val="left"/>
      <w:pPr>
        <w:ind w:left="5760" w:hanging="360"/>
      </w:pPr>
    </w:lvl>
    <w:lvl w:ilvl="8" w:tplc="7F28C952">
      <w:start w:val="1"/>
      <w:numFmt w:val="lowerRoman"/>
      <w:lvlText w:val="%9."/>
      <w:lvlJc w:val="right"/>
      <w:pPr>
        <w:ind w:left="6480" w:hanging="180"/>
      </w:pPr>
    </w:lvl>
  </w:abstractNum>
  <w:abstractNum w:abstractNumId="1" w15:restartNumberingAfterBreak="0">
    <w:nsid w:val="4E7BB7F8"/>
    <w:multiLevelType w:val="hybridMultilevel"/>
    <w:tmpl w:val="FFFFFFFF"/>
    <w:lvl w:ilvl="0" w:tplc="3AB455A0">
      <w:start w:val="1"/>
      <w:numFmt w:val="bullet"/>
      <w:lvlText w:val=""/>
      <w:lvlJc w:val="left"/>
      <w:pPr>
        <w:ind w:left="720" w:hanging="360"/>
      </w:pPr>
      <w:rPr>
        <w:rFonts w:ascii="Symbol" w:hAnsi="Symbol" w:hint="default"/>
      </w:rPr>
    </w:lvl>
    <w:lvl w:ilvl="1" w:tplc="5EFA2738">
      <w:start w:val="1"/>
      <w:numFmt w:val="bullet"/>
      <w:lvlText w:val="o"/>
      <w:lvlJc w:val="left"/>
      <w:pPr>
        <w:ind w:left="1440" w:hanging="360"/>
      </w:pPr>
      <w:rPr>
        <w:rFonts w:ascii="Courier New" w:hAnsi="Courier New" w:hint="default"/>
      </w:rPr>
    </w:lvl>
    <w:lvl w:ilvl="2" w:tplc="078263A0">
      <w:start w:val="1"/>
      <w:numFmt w:val="bullet"/>
      <w:lvlText w:val=""/>
      <w:lvlJc w:val="left"/>
      <w:pPr>
        <w:ind w:left="2160" w:hanging="360"/>
      </w:pPr>
      <w:rPr>
        <w:rFonts w:ascii="Wingdings" w:hAnsi="Wingdings" w:hint="default"/>
      </w:rPr>
    </w:lvl>
    <w:lvl w:ilvl="3" w:tplc="5DE0F084">
      <w:start w:val="1"/>
      <w:numFmt w:val="bullet"/>
      <w:lvlText w:val=""/>
      <w:lvlJc w:val="left"/>
      <w:pPr>
        <w:ind w:left="2880" w:hanging="360"/>
      </w:pPr>
      <w:rPr>
        <w:rFonts w:ascii="Symbol" w:hAnsi="Symbol" w:hint="default"/>
      </w:rPr>
    </w:lvl>
    <w:lvl w:ilvl="4" w:tplc="BD224C84">
      <w:start w:val="1"/>
      <w:numFmt w:val="bullet"/>
      <w:lvlText w:val="o"/>
      <w:lvlJc w:val="left"/>
      <w:pPr>
        <w:ind w:left="3600" w:hanging="360"/>
      </w:pPr>
      <w:rPr>
        <w:rFonts w:ascii="Courier New" w:hAnsi="Courier New" w:hint="default"/>
      </w:rPr>
    </w:lvl>
    <w:lvl w:ilvl="5" w:tplc="B2B44686">
      <w:start w:val="1"/>
      <w:numFmt w:val="bullet"/>
      <w:lvlText w:val=""/>
      <w:lvlJc w:val="left"/>
      <w:pPr>
        <w:ind w:left="4320" w:hanging="360"/>
      </w:pPr>
      <w:rPr>
        <w:rFonts w:ascii="Wingdings" w:hAnsi="Wingdings" w:hint="default"/>
      </w:rPr>
    </w:lvl>
    <w:lvl w:ilvl="6" w:tplc="1A3480DA">
      <w:start w:val="1"/>
      <w:numFmt w:val="bullet"/>
      <w:lvlText w:val=""/>
      <w:lvlJc w:val="left"/>
      <w:pPr>
        <w:ind w:left="5040" w:hanging="360"/>
      </w:pPr>
      <w:rPr>
        <w:rFonts w:ascii="Symbol" w:hAnsi="Symbol" w:hint="default"/>
      </w:rPr>
    </w:lvl>
    <w:lvl w:ilvl="7" w:tplc="88C21508">
      <w:start w:val="1"/>
      <w:numFmt w:val="bullet"/>
      <w:lvlText w:val="o"/>
      <w:lvlJc w:val="left"/>
      <w:pPr>
        <w:ind w:left="5760" w:hanging="360"/>
      </w:pPr>
      <w:rPr>
        <w:rFonts w:ascii="Courier New" w:hAnsi="Courier New" w:hint="default"/>
      </w:rPr>
    </w:lvl>
    <w:lvl w:ilvl="8" w:tplc="2E827634">
      <w:start w:val="1"/>
      <w:numFmt w:val="bullet"/>
      <w:lvlText w:val=""/>
      <w:lvlJc w:val="left"/>
      <w:pPr>
        <w:ind w:left="6480" w:hanging="360"/>
      </w:pPr>
      <w:rPr>
        <w:rFonts w:ascii="Wingdings" w:hAnsi="Wingdings" w:hint="default"/>
      </w:rPr>
    </w:lvl>
  </w:abstractNum>
  <w:num w:numId="1" w16cid:durableId="1948388400">
    <w:abstractNumId w:val="0"/>
  </w:num>
  <w:num w:numId="2" w16cid:durableId="9854297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971D046"/>
    <w:rsid w:val="0012227F"/>
    <w:rsid w:val="0027378E"/>
    <w:rsid w:val="00483E39"/>
    <w:rsid w:val="004A7BC1"/>
    <w:rsid w:val="004D47F6"/>
    <w:rsid w:val="004F60E8"/>
    <w:rsid w:val="005C28E0"/>
    <w:rsid w:val="005C5F35"/>
    <w:rsid w:val="00651168"/>
    <w:rsid w:val="006604C8"/>
    <w:rsid w:val="006610E0"/>
    <w:rsid w:val="007508CF"/>
    <w:rsid w:val="007B1950"/>
    <w:rsid w:val="00880C4A"/>
    <w:rsid w:val="00AB0048"/>
    <w:rsid w:val="00AB22F2"/>
    <w:rsid w:val="00AE258F"/>
    <w:rsid w:val="00B405FE"/>
    <w:rsid w:val="00CE193D"/>
    <w:rsid w:val="00DE313A"/>
    <w:rsid w:val="00E2307B"/>
    <w:rsid w:val="00E951FE"/>
    <w:rsid w:val="00F43705"/>
    <w:rsid w:val="0187B6DC"/>
    <w:rsid w:val="044CCED8"/>
    <w:rsid w:val="059FF6C8"/>
    <w:rsid w:val="05FA40DE"/>
    <w:rsid w:val="092812AA"/>
    <w:rsid w:val="09CE876C"/>
    <w:rsid w:val="0C141387"/>
    <w:rsid w:val="0E39D167"/>
    <w:rsid w:val="11A35708"/>
    <w:rsid w:val="1337663D"/>
    <w:rsid w:val="1568007A"/>
    <w:rsid w:val="18D1C2E4"/>
    <w:rsid w:val="1935FA7C"/>
    <w:rsid w:val="19F6CAD9"/>
    <w:rsid w:val="1A8CF4B7"/>
    <w:rsid w:val="1E8E7201"/>
    <w:rsid w:val="21BC4E1E"/>
    <w:rsid w:val="21F56CC3"/>
    <w:rsid w:val="2216771D"/>
    <w:rsid w:val="256A20CE"/>
    <w:rsid w:val="26A15CA4"/>
    <w:rsid w:val="26B9D1DE"/>
    <w:rsid w:val="2A7C4E02"/>
    <w:rsid w:val="2BBBF9F3"/>
    <w:rsid w:val="2C8104E0"/>
    <w:rsid w:val="2CE1ADAF"/>
    <w:rsid w:val="2D83F345"/>
    <w:rsid w:val="2D890EDA"/>
    <w:rsid w:val="2EAE4A7F"/>
    <w:rsid w:val="2EEDB6E9"/>
    <w:rsid w:val="2F2ED3EB"/>
    <w:rsid w:val="307664C3"/>
    <w:rsid w:val="337D503B"/>
    <w:rsid w:val="347CB88B"/>
    <w:rsid w:val="35FF91C5"/>
    <w:rsid w:val="3947A922"/>
    <w:rsid w:val="3971D046"/>
    <w:rsid w:val="3A3087E9"/>
    <w:rsid w:val="3AE47958"/>
    <w:rsid w:val="3BC5FE8A"/>
    <w:rsid w:val="3EE6F870"/>
    <w:rsid w:val="42C9CACA"/>
    <w:rsid w:val="4531E69D"/>
    <w:rsid w:val="45806E86"/>
    <w:rsid w:val="461FB2BE"/>
    <w:rsid w:val="492DB865"/>
    <w:rsid w:val="4A10D57C"/>
    <w:rsid w:val="4A64FF3A"/>
    <w:rsid w:val="4B8CFE97"/>
    <w:rsid w:val="4D28E800"/>
    <w:rsid w:val="4D72CE60"/>
    <w:rsid w:val="4D77A360"/>
    <w:rsid w:val="51D5FA2C"/>
    <w:rsid w:val="5259EE44"/>
    <w:rsid w:val="52CC79CB"/>
    <w:rsid w:val="53519346"/>
    <w:rsid w:val="5376ADE9"/>
    <w:rsid w:val="546F02C0"/>
    <w:rsid w:val="54C78517"/>
    <w:rsid w:val="56E3BCE7"/>
    <w:rsid w:val="58C6E28E"/>
    <w:rsid w:val="5C133A37"/>
    <w:rsid w:val="5CB969CE"/>
    <w:rsid w:val="5D9BFA9B"/>
    <w:rsid w:val="5E356F51"/>
    <w:rsid w:val="5EABAB26"/>
    <w:rsid w:val="5EAD3590"/>
    <w:rsid w:val="5F8E5ABC"/>
    <w:rsid w:val="63902BCA"/>
    <w:rsid w:val="64E95C85"/>
    <w:rsid w:val="6547C546"/>
    <w:rsid w:val="662088C1"/>
    <w:rsid w:val="670D0AAB"/>
    <w:rsid w:val="6958A340"/>
    <w:rsid w:val="696A42BB"/>
    <w:rsid w:val="6B11D0B7"/>
    <w:rsid w:val="6E68693C"/>
    <w:rsid w:val="6F11F305"/>
    <w:rsid w:val="6F621E1E"/>
    <w:rsid w:val="6F8ECBF0"/>
    <w:rsid w:val="6F9C5E46"/>
    <w:rsid w:val="706CFDEB"/>
    <w:rsid w:val="70F64CFF"/>
    <w:rsid w:val="7398E811"/>
    <w:rsid w:val="746CCF7E"/>
    <w:rsid w:val="74F2BB2C"/>
    <w:rsid w:val="7545046A"/>
    <w:rsid w:val="758FB85C"/>
    <w:rsid w:val="7BBA0A96"/>
    <w:rsid w:val="7C148349"/>
    <w:rsid w:val="7C185468"/>
    <w:rsid w:val="7DB34745"/>
    <w:rsid w:val="7E33DD56"/>
    <w:rsid w:val="7F0BE8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971D046"/>
  <w15:chartTrackingRefBased/>
  <w15:docId w15:val="{417A696D-0D17-4C6A-B816-394A695E6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6F8EC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06CFDEB"/>
    <w:pPr>
      <w:ind w:left="720"/>
      <w:contextualSpacing/>
    </w:pPr>
  </w:style>
  <w:style w:type="character" w:styleId="Hyperlink">
    <w:name w:val="Hyperlink"/>
    <w:basedOn w:val="DefaultParagraphFont"/>
    <w:uiPriority w:val="99"/>
    <w:unhideWhenUsed/>
    <w:rsid w:val="6F8ECBF0"/>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eep.eu/wp-content/uploads/2025/03/Addressing-food-waste-in-the-retail-sector-IEEP-2025.pdf"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Hasaan Ahmad (Student)</dc:creator>
  <cp:keywords/>
  <dc:description/>
  <cp:lastModifiedBy>Chouaib Hakim (Student)</cp:lastModifiedBy>
  <cp:revision>5</cp:revision>
  <dcterms:created xsi:type="dcterms:W3CDTF">2025-10-13T20:36:00Z</dcterms:created>
  <dcterms:modified xsi:type="dcterms:W3CDTF">2025-11-24T12:54:00Z</dcterms:modified>
</cp:coreProperties>
</file>