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Georgia" w:cs="Georgia" w:eastAsia="Georgia" w:hAnsi="Georgia"/>
          <w:b/>
          <w:bCs/>
          <w:color w:val="1B2530"/>
          <w:sz w:val="52"/>
          <w:szCs w:val="52"/>
        </w:rPr>
        <w:t xml:space="preserve">Knowledge Graph Quality Evaluation</w:t>
      </w:r>
    </w:p>
    <w:p>
      <w:pPr>
        <w:spacing w:after="320"/>
      </w:pPr>
      <w:r>
        <w:rPr>
          <w:rFonts w:ascii="Calibri" w:cs="Calibri" w:eastAsia="Calibri" w:hAnsi="Calibri"/>
          <w:b w:val="false"/>
          <w:bCs w:val="false"/>
          <w:i w:val="false"/>
          <w:iCs w:val="false"/>
          <w:color w:val="5E6B7A"/>
          <w:sz w:val="26"/>
          <w:szCs w:val="26"/>
        </w:rPr>
        <w:t xml:space="preserve">AnimalRAG GraphRAG knowledge graphs, all 38 topic groups + test set</w:t>
      </w:r>
    </w:p>
    <w:p>
      <w:pPr>
        <w:spacing w:after="120"/>
      </w:pPr>
      <w:r>
        <w:rPr>
          <w:rFonts w:ascii="Calibri" w:cs="Calibri" w:eastAsia="Calibri" w:hAnsi="Calibri"/>
          <w:b w:val="false"/>
          <w:bCs w:val="false"/>
          <w:i w:val="false"/>
          <w:iCs w:val="false"/>
          <w:color w:val="5E6B7A"/>
          <w:sz w:val="21"/>
          <w:szCs w:val="21"/>
        </w:rPr>
        <w:t xml:space="preserve">Prepared by Srikar Sankranti (Directed Studies, Prof. Jian Tao) for the TAU Group / Sumanth</w:t>
      </w:r>
    </w:p>
    <w:p>
      <w:pPr>
        <w:spacing w:after="480"/>
      </w:pPr>
      <w:r>
        <w:rPr>
          <w:rFonts w:ascii="Calibri" w:cs="Calibri" w:eastAsia="Calibri" w:hAnsi="Calibri"/>
          <w:b w:val="false"/>
          <w:bCs w:val="false"/>
          <w:i w:val="false"/>
          <w:iCs w:val="false"/>
          <w:color w:val="5E6B7A"/>
          <w:sz w:val="21"/>
          <w:szCs w:val="21"/>
        </w:rPr>
        <w:t xml:space="preserve">October 14, 2026  ·  Method: GraphJudge-style triple verification + automated structural and consistency analysis</w:t>
      </w:r>
    </w:p>
    <w:p>
      <w:pPr>
        <w:pStyle w:val="Heading1"/>
        <w:spacing w:after="140" w:before="280"/>
      </w:pPr>
      <w:r>
        <w:rPr>
          <w:rFonts w:ascii="Calibri" w:cs="Calibri" w:eastAsia="Calibri" w:hAnsi="Calibri"/>
          <w:color w:val="3B4CC0"/>
        </w:rPr>
        <w:t xml:space="preserve">1. Executive summary</w:t>
      </w:r>
    </w:p>
    <w:p>
      <w:pPr>
        <w:spacing w:after="120"/>
      </w:pPr>
      <w:r>
        <w:rPr>
          <w:rFonts w:ascii="Calibri" w:cs="Calibri" w:eastAsia="Calibri" w:hAnsi="Calibri"/>
          <w:b w:val="false"/>
          <w:bCs w:val="false"/>
          <w:i w:val="false"/>
          <w:iCs w:val="false"/>
          <w:color w:val="1B2530"/>
          <w:sz w:val="21"/>
          <w:szCs w:val="21"/>
        </w:rPr>
        <w:t xml:space="preserve">This report evaluates the triplet-level quality of the knowledge graphs produced by the AnimalRAG GraphRAG pipeline, following Prof. Tao's directive to verify triplet accuracy before building further on the graphs. Two evaluations were run: a deep manual verification of a random triple sample against the full text of the source papers (group13), and an automated structural and consistency analysis of every exported graph (83,554 triples across 38 group graphs and the test-set graph).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400"/>
        <w:gridCol w:w="3800"/>
      </w:tblGrid>
      <w:tr>
        <w:trPr>
          <w:tblHeader/>
        </w:trPr>
        <w:tc>
          <w:tcPr>
            <w:tcW w:type="dxa" w:w="6400"/>
            <w:shd w:fill="E4E8F8" w:val="clear"/>
            <w:tcMar>
              <w:top w:type="dxa" w:w="50"/>
              <w:left w:type="dxa" w:w="80"/>
              <w:bottom w:type="dxa" w:w="50"/>
              <w:right w:type="dxa" w:w="80"/>
            </w:tcMar>
          </w:tcPr>
          <w:p>
            <w:pPr>
              <w:spacing w:after="0"/>
            </w:pPr>
            <w:r>
              <w:rPr>
                <w:rFonts w:ascii="Calibri" w:cs="Calibri" w:eastAsia="Calibri" w:hAnsi="Calibri"/>
                <w:b/>
                <w:bCs/>
                <w:color w:val="5E6B7A"/>
                <w:sz w:val="19"/>
                <w:szCs w:val="19"/>
              </w:rPr>
              <w:t xml:space="preserve">Finding</w:t>
            </w:r>
          </w:p>
        </w:tc>
        <w:tc>
          <w:tcPr>
            <w:tcW w:type="dxa" w:w="3800"/>
            <w:shd w:fill="E4E8F8" w:val="clear"/>
            <w:tcMar>
              <w:top w:type="dxa" w:w="50"/>
              <w:left w:type="dxa" w:w="80"/>
              <w:bottom w:type="dxa" w:w="50"/>
              <w:right w:type="dxa" w:w="80"/>
            </w:tcMar>
          </w:tcPr>
          <w:p>
            <w:pPr>
              <w:spacing w:after="0"/>
            </w:pPr>
            <w:r>
              <w:rPr>
                <w:rFonts w:ascii="Calibri" w:cs="Calibri" w:eastAsia="Calibri" w:hAnsi="Calibri"/>
                <w:b/>
                <w:bCs/>
                <w:color w:val="5E6B7A"/>
                <w:sz w:val="19"/>
                <w:szCs w:val="19"/>
              </w:rPr>
              <w:t xml:space="preserve">Value</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Triples analyzed (all graphs)</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83,554</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Judged accuracy, group13 sample of 50 (fully correct)</w:t>
            </w:r>
          </w:p>
        </w:tc>
        <w:tc>
          <w:tcPr>
            <w:tcW w:type="dxa" w:w="3800"/>
            <w:tcMar>
              <w:top w:type="dxa" w:w="50"/>
              <w:left w:type="dxa" w:w="80"/>
              <w:bottom w:type="dxa" w:w="50"/>
              <w:right w:type="dxa" w:w="80"/>
            </w:tcMar>
          </w:tcPr>
          <w:p>
            <w:pPr>
              <w:spacing w:after="0"/>
              <w:jc w:val="right"/>
            </w:pPr>
            <w:r>
              <w:rPr>
                <w:rFonts w:ascii="Calibri" w:cs="Calibri" w:eastAsia="Calibri" w:hAnsi="Calibri"/>
                <w:b w:val="false"/>
                <w:bCs w:val="false"/>
                <w:color w:val="1B2530"/>
                <w:sz w:val="19"/>
                <w:szCs w:val="19"/>
              </w:rPr>
              <w:t xml:space="preserve">58%</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  imprecise (right idea, wrong granularity / dropped condition)</w:t>
            </w:r>
          </w:p>
        </w:tc>
        <w:tc>
          <w:tcPr>
            <w:tcW w:type="dxa" w:w="3800"/>
            <w:tcMar>
              <w:top w:type="dxa" w:w="50"/>
              <w:left w:type="dxa" w:w="80"/>
              <w:bottom w:type="dxa" w:w="50"/>
              <w:right w:type="dxa" w:w="80"/>
            </w:tcMar>
          </w:tcPr>
          <w:p>
            <w:pPr>
              <w:spacing w:after="0"/>
              <w:jc w:val="right"/>
            </w:pPr>
            <w:r>
              <w:rPr>
                <w:rFonts w:ascii="Calibri" w:cs="Calibri" w:eastAsia="Calibri" w:hAnsi="Calibri"/>
                <w:b w:val="false"/>
                <w:bCs w:val="false"/>
                <w:color w:val="1B2530"/>
                <w:sz w:val="19"/>
                <w:szCs w:val="19"/>
              </w:rPr>
              <w:t xml:space="preserve">26%</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  wrong (contradicted, inverted, garbled, context leak)</w:t>
            </w:r>
          </w:p>
        </w:tc>
        <w:tc>
          <w:tcPr>
            <w:tcW w:type="dxa" w:w="3800"/>
            <w:tcMar>
              <w:top w:type="dxa" w:w="50"/>
              <w:left w:type="dxa" w:w="80"/>
              <w:bottom w:type="dxa" w:w="50"/>
              <w:right w:type="dxa" w:w="80"/>
            </w:tcMar>
          </w:tcPr>
          <w:p>
            <w:pPr>
              <w:spacing w:after="0"/>
              <w:jc w:val="right"/>
            </w:pPr>
            <w:r>
              <w:rPr>
                <w:rFonts w:ascii="Calibri" w:cs="Calibri" w:eastAsia="Calibri" w:hAnsi="Calibri"/>
                <w:b w:val="false"/>
                <w:bCs w:val="false"/>
                <w:color w:val="1B2530"/>
                <w:sz w:val="19"/>
                <w:szCs w:val="19"/>
              </w:rPr>
              <w:t xml:space="preserve">16%</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Distinct relation types across all graphs</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7,603 (4,267 used exactly once)</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Trivial relation triples (is measured in, is component of, ...)</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12,705 (15.2%)</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Unqualified contradiction pairs (same subject &amp; object, opposing relations)</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495 - present in every group (2 to 46 per group)</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Duplicate s-r-o triples / self-loops</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0 / 0 (entity merging works)</w:t>
            </w:r>
          </w:p>
        </w:tc>
      </w:tr>
      <w:tr>
        <w:tc>
          <w:tcPr>
            <w:tcW w:type="dxa" w:w="64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Triples supported by 2+ papers</w:t>
            </w:r>
          </w:p>
        </w:tc>
        <w:tc>
          <w:tcPr>
            <w:tcW w:type="dxa" w:w="3800"/>
            <w:tcMar>
              <w:top w:type="dxa" w:w="50"/>
              <w:left w:type="dxa" w:w="80"/>
              <w:bottom w:type="dxa" w:w="50"/>
              <w:right w:type="dxa" w:w="80"/>
            </w:tcMar>
          </w:tcPr>
          <w:p>
            <w:pPr>
              <w:spacing w:after="0"/>
            </w:pPr>
            <w:r>
              <w:rPr>
                <w:rFonts w:ascii="Calibri" w:cs="Calibri" w:eastAsia="Calibri" w:hAnsi="Calibri"/>
                <w:b w:val="false"/>
                <w:bCs w:val="false"/>
                <w:color w:val="1B2530"/>
                <w:sz w:val="19"/>
                <w:szCs w:val="19"/>
              </w:rPr>
              <w:t xml:space="preserve">315 (0.4%)</w:t>
            </w:r>
          </w:p>
        </w:tc>
      </w:tr>
    </w:tbl>
    <w:p>
      <w:pPr>
        <w:spacing w:after="120"/>
      </w:pPr>
      <w:r>
        <w:rPr>
          <w:rFonts w:ascii="Calibri" w:cs="Calibri" w:eastAsia="Calibri" w:hAnsi="Calibri"/>
          <w:b w:val="false"/>
          <w:bCs w:val="false"/>
          <w:i w:val="false"/>
          <w:iCs w:val="false"/>
          <w:color w:val="1B2530"/>
          <w:sz w:val="21"/>
          <w:szCs w:val="21"/>
        </w:rPr>
        <w:t xml:space="preserve"/>
      </w:r>
    </w:p>
    <w:p>
      <w:pPr>
        <w:spacing w:after="120"/>
      </w:pPr>
      <w:r>
        <w:rPr>
          <w:rFonts w:ascii="Calibri" w:cs="Calibri" w:eastAsia="Calibri" w:hAnsi="Calibri"/>
          <w:b/>
          <w:bCs/>
          <w:i w:val="false"/>
          <w:iCs w:val="false"/>
          <w:color w:val="3B4CC0"/>
          <w:sz w:val="21"/>
          <w:szCs w:val="21"/>
        </w:rPr>
        <w:t xml:space="preserve">Key message: the pipeline runs end to end and its entity merging is clean, but roughly one triple in six in the judged sample is wrong, the relation vocabulary has exploded, and every graph contains pairs of directly opposing, unqualified claims. None of these problems is visible to answer-level evaluation (the RESULTS.md faithfulness criterion was a tie 83% of the time), which is exactly why triple-level verification has to come first. All of them are fixable with a judge filtering stage, relation normalization, and pruning - without changing the extraction pipeline.</w:t>
      </w:r>
    </w:p>
    <w:p>
      <w:pPr>
        <w:pStyle w:val="Heading1"/>
        <w:spacing w:after="140" w:before="280"/>
      </w:pPr>
      <w:r>
        <w:rPr>
          <w:rFonts w:ascii="Calibri" w:cs="Calibri" w:eastAsia="Calibri" w:hAnsi="Calibri"/>
          <w:color w:val="3B4CC0"/>
        </w:rPr>
        <w:t xml:space="preserve">1b. Overall assessment: is the KG good?</w:t>
      </w:r>
    </w:p>
    <w:p>
      <w:pPr>
        <w:spacing w:after="120"/>
      </w:pPr>
      <w:r>
        <w:rPr>
          <w:rFonts w:ascii="Calibri" w:cs="Calibri" w:eastAsia="Calibri" w:hAnsi="Calibri"/>
          <w:b w:val="false"/>
          <w:bCs w:val="false"/>
          <w:i w:val="false"/>
          <w:iCs w:val="false"/>
          <w:color w:val="1B2530"/>
          <w:sz w:val="21"/>
          <w:szCs w:val="21"/>
        </w:rPr>
        <w:t xml:space="preserve">Short answer: it is a good DRAFT knowledge graph - strong engineering, not yet a trustworthy fact store. Both halves matter.</w:t>
      </w:r>
    </w:p>
    <w:p>
      <w:pPr>
        <w:pStyle w:val="Heading2"/>
        <w:spacing w:after="110" w:before="220"/>
      </w:pPr>
      <w:r>
        <w:rPr>
          <w:rFonts w:ascii="Calibri" w:cs="Calibri" w:eastAsia="Calibri" w:hAnsi="Calibri"/>
          <w:color w:val="1B2530"/>
        </w:rPr>
        <w:t xml:space="preserve">What is genuinely good</w:t>
      </w:r>
    </w:p>
    <w:p>
      <w:pPr>
        <w:pStyle w:val="ListParagraph"/>
        <w:numPr>
          <w:ilvl w:val="0"/>
          <w:numId w:val="2"/>
        </w:numPr>
        <w:spacing w:after="80"/>
      </w:pPr>
      <w:r>
        <w:rPr>
          <w:rFonts w:ascii="Calibri" w:cs="Calibri" w:eastAsia="Calibri" w:hAnsi="Calibri"/>
          <w:b w:val="false"/>
          <w:bCs w:val="false"/>
          <w:color w:val="1B2530"/>
          <w:sz w:val="21"/>
          <w:szCs w:val="21"/>
        </w:rPr>
        <w:t xml:space="preserve">Scale and robustness: 39 graphs built end to end, resumable, cached, with full manifests - this infrastructure is the hard part and it works.</w:t>
      </w:r>
    </w:p>
    <w:p>
      <w:pPr>
        <w:pStyle w:val="ListParagraph"/>
        <w:numPr>
          <w:ilvl w:val="0"/>
          <w:numId w:val="2"/>
        </w:numPr>
        <w:spacing w:after="80"/>
      </w:pPr>
      <w:r>
        <w:rPr>
          <w:rFonts w:ascii="Calibri" w:cs="Calibri" w:eastAsia="Calibri" w:hAnsi="Calibri"/>
          <w:b w:val="false"/>
          <w:bCs w:val="false"/>
          <w:color w:val="1B2530"/>
          <w:sz w:val="21"/>
          <w:szCs w:val="21"/>
        </w:rPr>
        <w:t xml:space="preserve">Entity merging is clean: zero duplicate triples and zero self-loops across all 83,554 triples. Many published pipelines fail exactly here.</w:t>
      </w:r>
    </w:p>
    <w:p>
      <w:pPr>
        <w:pStyle w:val="ListParagraph"/>
        <w:numPr>
          <w:ilvl w:val="0"/>
          <w:numId w:val="2"/>
        </w:numPr>
        <w:spacing w:after="80"/>
      </w:pPr>
      <w:r>
        <w:rPr>
          <w:rFonts w:ascii="Calibri" w:cs="Calibri" w:eastAsia="Calibri" w:hAnsi="Calibri"/>
          <w:b w:val="false"/>
          <w:bCs w:val="false"/>
          <w:color w:val="1B2530"/>
          <w:sz w:val="21"/>
          <w:szCs w:val="21"/>
        </w:rPr>
        <w:t xml:space="preserve">Full provenance: every triple stores its source papers and chunk ids. This single design decision is what makes every fix below mechanical rather than a rebuild.</w:t>
      </w:r>
    </w:p>
    <w:p>
      <w:pPr>
        <w:pStyle w:val="ListParagraph"/>
        <w:numPr>
          <w:ilvl w:val="0"/>
          <w:numId w:val="2"/>
        </w:numPr>
        <w:spacing w:after="80"/>
      </w:pPr>
      <w:r>
        <w:rPr>
          <w:rFonts w:ascii="Calibri" w:cs="Calibri" w:eastAsia="Calibri" w:hAnsi="Calibri"/>
          <w:b w:val="false"/>
          <w:bCs w:val="false"/>
          <w:color w:val="1B2530"/>
          <w:sz w:val="21"/>
          <w:szCs w:val="21"/>
        </w:rPr>
        <w:t xml:space="preserve">Rich schema: effect direction, weights, contexts and descriptions per triple - ahead of what most text-to-KG papers export.</w:t>
      </w:r>
    </w:p>
    <w:p>
      <w:pPr>
        <w:pStyle w:val="Heading2"/>
        <w:spacing w:after="110" w:before="220"/>
      </w:pPr>
      <w:r>
        <w:rPr>
          <w:rFonts w:ascii="Calibri" w:cs="Calibri" w:eastAsia="Calibri" w:hAnsi="Calibri"/>
          <w:color w:val="1B2530"/>
        </w:rPr>
        <w:t xml:space="preserve">What is not yet good enough for GraphRAG</w:t>
      </w:r>
    </w:p>
    <w:p>
      <w:pPr>
        <w:pStyle w:val="ListParagraph"/>
        <w:numPr>
          <w:ilvl w:val="0"/>
          <w:numId w:val="2"/>
        </w:numPr>
        <w:spacing w:after="80"/>
      </w:pPr>
      <w:r>
        <w:rPr>
          <w:rFonts w:ascii="Calibri" w:cs="Calibri" w:eastAsia="Calibri" w:hAnsi="Calibri"/>
          <w:b w:val="false"/>
          <w:bCs w:val="false"/>
          <w:color w:val="1B2530"/>
          <w:sz w:val="21"/>
          <w:szCs w:val="21"/>
        </w:rPr>
        <w:t xml:space="preserve">Accuracy: ~1 in 6 sampled triples is wrong, and these errors are invisible at answer level (faithfulness judging tied 83% of the time). A KG-grounded answer can currently cite a false fact with full confidence.</w:t>
      </w:r>
    </w:p>
    <w:p>
      <w:pPr>
        <w:pStyle w:val="ListParagraph"/>
        <w:numPr>
          <w:ilvl w:val="0"/>
          <w:numId w:val="2"/>
        </w:numPr>
        <w:spacing w:after="80"/>
      </w:pPr>
      <w:r>
        <w:rPr>
          <w:rFonts w:ascii="Calibri" w:cs="Calibri" w:eastAsia="Calibri" w:hAnsi="Calibri"/>
          <w:b w:val="false"/>
          <w:bCs w:val="false"/>
          <w:color w:val="1B2530"/>
          <w:sz w:val="21"/>
          <w:szCs w:val="21"/>
        </w:rPr>
        <w:t xml:space="preserve">Relation noise: 7,603 relation types, 56% used once - retrieval over relations becomes string matching instead of graph semantics.</w:t>
      </w:r>
    </w:p>
    <w:p>
      <w:pPr>
        <w:pStyle w:val="ListParagraph"/>
        <w:numPr>
          <w:ilvl w:val="0"/>
          <w:numId w:val="2"/>
        </w:numPr>
        <w:spacing w:after="80"/>
      </w:pPr>
      <w:r>
        <w:rPr>
          <w:rFonts w:ascii="Calibri" w:cs="Calibri" w:eastAsia="Calibri" w:hAnsi="Calibri"/>
          <w:b w:val="false"/>
          <w:bCs w:val="false"/>
          <w:color w:val="1B2530"/>
          <w:sz w:val="21"/>
          <w:szCs w:val="21"/>
        </w:rPr>
        <w:t xml:space="preserve">Contradictions: 495 unqualified opposing pairs means the same question can be answered both ways depending on which triple retrieval surfaces.</w:t>
      </w:r>
    </w:p>
    <w:p>
      <w:pPr>
        <w:spacing w:after="120"/>
      </w:pPr>
      <w:r>
        <w:rPr>
          <w:rFonts w:ascii="Calibri" w:cs="Calibri" w:eastAsia="Calibri" w:hAnsi="Calibri"/>
          <w:b/>
          <w:bCs/>
          <w:i w:val="false"/>
          <w:iCs w:val="false"/>
          <w:color w:val="3B4CC0"/>
          <w:sz w:val="21"/>
          <w:szCs w:val="21"/>
        </w:rPr>
        <w:t xml:space="preserve">Important context: every failure class found here is the documented failure mode of naive LLM extraction (noise, condition dropping, hallucinated or inverted relations - exactly the three problems the GraphJudge paper, EMNLP 2025, was built to solve). This is the expected state of a first-pass extraction, not a design flaw. The pipeline was built verification-ready; the verification layer is simply the next component.</w:t>
      </w:r>
    </w:p>
    <w:p>
      <w:r>
        <w:br w:type="page"/>
      </w:r>
    </w:p>
    <w:p>
      <w:pPr>
        <w:pStyle w:val="Heading1"/>
        <w:spacing w:after="140" w:before="280"/>
      </w:pPr>
      <w:r>
        <w:rPr>
          <w:rFonts w:ascii="Calibri" w:cs="Calibri" w:eastAsia="Calibri" w:hAnsi="Calibri"/>
          <w:color w:val="3B4CC0"/>
        </w:rPr>
        <w:t xml:space="preserve">2. What was evaluated and how</w:t>
      </w:r>
    </w:p>
    <w:p>
      <w:pPr>
        <w:pStyle w:val="Heading2"/>
        <w:spacing w:after="110" w:before="220"/>
      </w:pPr>
      <w:r>
        <w:rPr>
          <w:rFonts w:ascii="Calibri" w:cs="Calibri" w:eastAsia="Calibri" w:hAnsi="Calibri"/>
          <w:color w:val="1B2530"/>
        </w:rPr>
        <w:t xml:space="preserve">2.1 Data</w:t>
      </w:r>
    </w:p>
    <w:p>
      <w:pPr>
        <w:pStyle w:val="ListParagraph"/>
        <w:numPr>
          <w:ilvl w:val="0"/>
          <w:numId w:val="2"/>
        </w:numPr>
        <w:spacing w:after="80"/>
      </w:pPr>
      <w:r>
        <w:rPr>
          <w:rFonts w:ascii="Calibri" w:cs="Calibri" w:eastAsia="Calibri" w:hAnsi="Calibri"/>
          <w:b w:val="false"/>
          <w:bCs w:val="false"/>
          <w:color w:val="1B2530"/>
          <w:sz w:val="21"/>
          <w:szCs w:val="21"/>
        </w:rPr>
        <w:t xml:space="preserve">All readable graph exports from AnimalRAG_Local-main/knowledge_graph/stores/&lt;group&gt;/export/triples.csv: 38 group graphs + the test-set graph, 83,554 triples in total. Row counts match RESULTS.md exactly, confirming the mapping.</w:t>
      </w:r>
    </w:p>
    <w:p>
      <w:pPr>
        <w:pStyle w:val="ListParagraph"/>
        <w:numPr>
          <w:ilvl w:val="0"/>
          <w:numId w:val="2"/>
        </w:numPr>
        <w:spacing w:after="80"/>
      </w:pPr>
      <w:r>
        <w:rPr>
          <w:rFonts w:ascii="Calibri" w:cs="Calibri" w:eastAsia="Calibri" w:hAnsi="Calibri"/>
          <w:b w:val="false"/>
          <w:bCs w:val="false"/>
          <w:color w:val="1B2530"/>
          <w:sz w:val="21"/>
          <w:szCs w:val="21"/>
        </w:rPr>
        <w:t xml:space="preserve">The combined all-papers graph (setting B) exists as a 35 MB triples.csv (modified Oct 8) but exceeds the 10 MB Drive-connector download limit; the identical analysis script is included so it can be run locally on that file in minutes.</w:t>
      </w:r>
    </w:p>
    <w:p>
      <w:pPr>
        <w:pStyle w:val="Heading2"/>
        <w:spacing w:after="110" w:before="220"/>
      </w:pPr>
      <w:r>
        <w:rPr>
          <w:rFonts w:ascii="Calibri" w:cs="Calibri" w:eastAsia="Calibri" w:hAnsi="Calibri"/>
          <w:color w:val="1B2530"/>
        </w:rPr>
        <w:t xml:space="preserve">2.2 Manual triple verification (deep dive)</w:t>
      </w:r>
    </w:p>
    <w:p>
      <w:pPr>
        <w:pStyle w:val="ListParagraph"/>
        <w:numPr>
          <w:ilvl w:val="0"/>
          <w:numId w:val="2"/>
        </w:numPr>
        <w:spacing w:after="80"/>
      </w:pPr>
      <w:r>
        <w:rPr>
          <w:rFonts w:ascii="Calibri" w:cs="Calibri" w:eastAsia="Calibri" w:hAnsi="Calibri"/>
          <w:b w:val="false"/>
          <w:bCs w:val="false"/>
          <w:color w:val="1B2530"/>
          <w:sz w:val="21"/>
          <w:szCs w:val="21"/>
        </w:rPr>
        <w:t xml:space="preserve">Group13 (Iodine_Thyroid_Content, 3 papers, 474 triples): a seeded random sample of 50 triples was judged against the FULL TEXT of all three source papers (Schone 2006; Li et al. 2012; Rottger et al. 2011), each read end to end.</w:t>
      </w:r>
    </w:p>
    <w:p>
      <w:pPr>
        <w:pStyle w:val="ListParagraph"/>
        <w:numPr>
          <w:ilvl w:val="0"/>
          <w:numId w:val="2"/>
        </w:numPr>
        <w:spacing w:after="80"/>
      </w:pPr>
      <w:r>
        <w:rPr>
          <w:rFonts w:ascii="Calibri" w:cs="Calibri" w:eastAsia="Calibri" w:hAnsi="Calibri"/>
          <w:b w:val="false"/>
          <w:bCs w:val="false"/>
          <w:color w:val="1B2530"/>
          <w:sz w:val="21"/>
          <w:szCs w:val="21"/>
        </w:rPr>
        <w:t xml:space="preserve">Verdicts: correct / imprecise / wrong, each with a written evidence comment quoting the source or naming the error. The per-triple verdict file is available for audit (sample50_judged.csv).</w:t>
      </w:r>
    </w:p>
    <w:p>
      <w:pPr>
        <w:pStyle w:val="ListParagraph"/>
        <w:numPr>
          <w:ilvl w:val="0"/>
          <w:numId w:val="2"/>
        </w:numPr>
        <w:spacing w:after="80"/>
      </w:pPr>
      <w:r>
        <w:rPr>
          <w:rFonts w:ascii="Calibri" w:cs="Calibri" w:eastAsia="Calibri" w:hAnsi="Calibri"/>
          <w:b w:val="false"/>
          <w:bCs w:val="false"/>
          <w:color w:val="1B2530"/>
          <w:sz w:val="21"/>
          <w:szCs w:val="21"/>
        </w:rPr>
        <w:t xml:space="preserve">The GraphJudge evaluation code (EMNLP 2025) was run on the sample against the judged-correct reference, giving a triple precision of 0.58.</w:t>
      </w:r>
    </w:p>
    <w:p>
      <w:pPr>
        <w:pStyle w:val="Heading2"/>
        <w:spacing w:after="110" w:before="220"/>
      </w:pPr>
      <w:r>
        <w:rPr>
          <w:rFonts w:ascii="Calibri" w:cs="Calibri" w:eastAsia="Calibri" w:hAnsi="Calibri"/>
          <w:color w:val="1B2530"/>
        </w:rPr>
        <w:t xml:space="preserve">2.3 Automated analysis (all graphs)</w:t>
      </w:r>
    </w:p>
    <w:p>
      <w:pPr>
        <w:pStyle w:val="ListParagraph"/>
        <w:numPr>
          <w:ilvl w:val="0"/>
          <w:numId w:val="2"/>
        </w:numPr>
        <w:spacing w:after="80"/>
      </w:pPr>
      <w:r>
        <w:rPr>
          <w:rFonts w:ascii="Calibri" w:cs="Calibri" w:eastAsia="Calibri" w:hAnsi="Calibri"/>
          <w:b w:val="false"/>
          <w:bCs w:val="false"/>
          <w:color w:val="1B2530"/>
          <w:sz w:val="21"/>
          <w:szCs w:val="21"/>
        </w:rPr>
        <w:t xml:space="preserve">Structure: triple counts, relation vocabulary size, singleton relations, duplicates, self-loops, vague entities, trivial-relation share, cross-paper support.</w:t>
      </w:r>
    </w:p>
    <w:p>
      <w:pPr>
        <w:pStyle w:val="ListParagraph"/>
        <w:numPr>
          <w:ilvl w:val="0"/>
          <w:numId w:val="2"/>
        </w:numPr>
        <w:spacing w:after="80"/>
      </w:pPr>
      <w:r>
        <w:rPr>
          <w:rFonts w:ascii="Calibri" w:cs="Calibri" w:eastAsia="Calibri" w:hAnsi="Calibri"/>
          <w:b w:val="false"/>
          <w:bCs w:val="false"/>
          <w:color w:val="1B2530"/>
          <w:sz w:val="21"/>
          <w:szCs w:val="21"/>
        </w:rPr>
        <w:t xml:space="preserve">Consistency: contradiction census - pairs with the same subject and object where one relation is an explicit negation of the other (affects vs has no effect on) or a direction conflict (increases vs decreases/reduces), with no qualifying context on either triple.</w:t>
      </w:r>
    </w:p>
    <w:p>
      <w:pPr>
        <w:pStyle w:val="Heading1"/>
        <w:spacing w:after="140" w:before="280"/>
      </w:pPr>
      <w:r>
        <w:rPr>
          <w:rFonts w:ascii="Calibri" w:cs="Calibri" w:eastAsia="Calibri" w:hAnsi="Calibri"/>
          <w:color w:val="3B4CC0"/>
        </w:rPr>
        <w:t xml:space="preserve">3. Deep dive: judged accuracy (group13)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2000"/>
      </w:tblGrid>
      <w:tr>
        <w:trPr>
          <w:tblHeader/>
        </w:trPr>
        <w:tc>
          <w:tcPr>
            <w:tcW w:type="dxa" w:w="52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Verdict</w:t>
            </w:r>
          </w:p>
        </w:tc>
        <w:tc>
          <w:tcPr>
            <w:tcW w:type="dxa" w:w="23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Count / 50</w:t>
            </w:r>
          </w:p>
        </w:tc>
        <w:tc>
          <w:tcPr>
            <w:tcW w:type="dxa" w:w="20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Share</w:t>
            </w:r>
          </w:p>
        </w:tc>
      </w:tr>
      <w:tr>
        <w:tc>
          <w:tcPr>
            <w:tcW w:type="dxa" w:w="52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Correct (supported by source text)</w:t>
            </w:r>
          </w:p>
        </w:tc>
        <w:tc>
          <w:tcPr>
            <w:tcW w:type="dxa" w:w="23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29</w:t>
            </w:r>
          </w:p>
        </w:tc>
        <w:tc>
          <w:tcPr>
            <w:tcW w:type="dxa" w:w="20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58%</w:t>
            </w:r>
          </w:p>
        </w:tc>
      </w:tr>
      <w:tr>
        <w:tc>
          <w:tcPr>
            <w:tcW w:type="dxa" w:w="52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Imprecise (granularity or condition lost)</w:t>
            </w:r>
          </w:p>
        </w:tc>
        <w:tc>
          <w:tcPr>
            <w:tcW w:type="dxa" w:w="23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13</w:t>
            </w:r>
          </w:p>
        </w:tc>
        <w:tc>
          <w:tcPr>
            <w:tcW w:type="dxa" w:w="20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26%</w:t>
            </w:r>
          </w:p>
        </w:tc>
      </w:tr>
      <w:tr>
        <w:tc>
          <w:tcPr>
            <w:tcW w:type="dxa" w:w="52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Wrong (contradicted / inverted / garbled)</w:t>
            </w:r>
          </w:p>
        </w:tc>
        <w:tc>
          <w:tcPr>
            <w:tcW w:type="dxa" w:w="23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8</w:t>
            </w:r>
          </w:p>
        </w:tc>
        <w:tc>
          <w:tcPr>
            <w:tcW w:type="dxa" w:w="2000"/>
            <w:tcMar>
              <w:top w:type="dxa" w:w="50"/>
              <w:left w:type="dxa" w:w="80"/>
              <w:bottom w:type="dxa" w:w="50"/>
              <w:right w:type="dxa" w:w="80"/>
            </w:tcMar>
          </w:tcPr>
          <w:p>
            <w:pPr>
              <w:spacing w:after="0"/>
              <w:jc w:val="right"/>
            </w:pPr>
            <w:r>
              <w:rPr>
                <w:rFonts w:ascii="Calibri" w:cs="Calibri" w:eastAsia="Calibri" w:hAnsi="Calibri"/>
                <w:b w:val="false"/>
                <w:bCs w:val="false"/>
                <w:color w:val="1B2530"/>
                <w:sz w:val="18"/>
                <w:szCs w:val="18"/>
              </w:rPr>
              <w:t xml:space="preserve">16%</w:t>
            </w:r>
          </w:p>
        </w:tc>
      </w:tr>
    </w:tbl>
    <w:p>
      <w:pPr>
        <w:spacing w:after="120"/>
      </w:pPr>
      <w:r>
        <w:rPr>
          <w:rFonts w:ascii="Calibri" w:cs="Calibri" w:eastAsia="Calibri" w:hAnsi="Calibri"/>
          <w:b w:val="false"/>
          <w:bCs w:val="false"/>
          <w:i w:val="false"/>
          <w:iCs w:val="false"/>
          <w:color w:val="1B2530"/>
          <w:sz w:val="21"/>
          <w:szCs w:val="21"/>
        </w:rPr>
        <w:t xml:space="preserve"/>
      </w:r>
    </w:p>
    <w:p>
      <w:pPr>
        <w:pStyle w:val="Heading2"/>
        <w:spacing w:after="110" w:before="220"/>
      </w:pPr>
      <w:r>
        <w:rPr>
          <w:rFonts w:ascii="Calibri" w:cs="Calibri" w:eastAsia="Calibri" w:hAnsi="Calibri"/>
          <w:color w:val="1B2530"/>
        </w:rPr>
        <w:t xml:space="preserve">Error taxonomy with examples from the graph</w:t>
      </w:r>
    </w:p>
    <w:p>
      <w:pPr>
        <w:pStyle w:val="ListParagraph"/>
        <w:numPr>
          <w:ilvl w:val="0"/>
          <w:numId w:val="2"/>
        </w:numPr>
        <w:spacing w:after="80"/>
      </w:pPr>
      <w:r>
        <w:rPr>
          <w:rFonts w:ascii="Calibri" w:cs="Calibri" w:eastAsia="Calibri" w:hAnsi="Calibri"/>
          <w:b w:val="false"/>
          <w:bCs w:val="false"/>
          <w:color w:val="1B2530"/>
          <w:sz w:val="21"/>
          <w:szCs w:val="21"/>
        </w:rPr>
        <w:t xml:space="preserve">Object truncation: 'high dietary iodine increases blood serum' - the source says it increases the serum IODINE CONCENTRATION. Also 'KI increases liver', 'iodine supplementation increases iodine'.</w:t>
      </w:r>
    </w:p>
    <w:p>
      <w:pPr>
        <w:pStyle w:val="ListParagraph"/>
        <w:numPr>
          <w:ilvl w:val="0"/>
          <w:numId w:val="2"/>
        </w:numPr>
        <w:spacing w:after="80"/>
      </w:pPr>
      <w:r>
        <w:rPr>
          <w:rFonts w:ascii="Calibri" w:cs="Calibri" w:eastAsia="Calibri" w:hAnsi="Calibri"/>
          <w:b w:val="false"/>
          <w:bCs w:val="false"/>
          <w:color w:val="1B2530"/>
          <w:sz w:val="21"/>
          <w:szCs w:val="21"/>
        </w:rPr>
        <w:t xml:space="preserve">Condition dropping: 'iodine causes hypothyroidism' (source: EXCESS iodine); 'iodine poses no risk to human health' (source: no risk FROM PORK at these feed levels).</w:t>
      </w:r>
    </w:p>
    <w:p>
      <w:pPr>
        <w:pStyle w:val="ListParagraph"/>
        <w:numPr>
          <w:ilvl w:val="0"/>
          <w:numId w:val="2"/>
        </w:numPr>
        <w:spacing w:after="80"/>
      </w:pPr>
      <w:r>
        <w:rPr>
          <w:rFonts w:ascii="Calibri" w:cs="Calibri" w:eastAsia="Calibri" w:hAnsi="Calibri"/>
          <w:b w:val="false"/>
          <w:bCs w:val="false"/>
          <w:color w:val="1B2530"/>
          <w:sz w:val="21"/>
          <w:szCs w:val="21"/>
        </w:rPr>
        <w:t xml:space="preserve">Surface inversion: 'rape reduces thyroid gland' - the paper shows rapeseed ENLARGES the thyroid while reducing its iodine stores.</w:t>
      </w:r>
    </w:p>
    <w:p>
      <w:pPr>
        <w:pStyle w:val="ListParagraph"/>
        <w:numPr>
          <w:ilvl w:val="0"/>
          <w:numId w:val="2"/>
        </w:numPr>
        <w:spacing w:after="80"/>
      </w:pPr>
      <w:r>
        <w:rPr>
          <w:rFonts w:ascii="Calibri" w:cs="Calibri" w:eastAsia="Calibri" w:hAnsi="Calibri"/>
          <w:b w:val="false"/>
          <w:bCs w:val="false"/>
          <w:color w:val="1B2530"/>
          <w:sz w:val="21"/>
          <w:szCs w:val="21"/>
        </w:rPr>
        <w:t xml:space="preserve">In-graph contradiction: 'iodine affects fattening performance' and 'iodine does not affect fattening performance', both extracted from the same paper.</w:t>
      </w:r>
    </w:p>
    <w:p>
      <w:pPr>
        <w:pStyle w:val="ListParagraph"/>
        <w:numPr>
          <w:ilvl w:val="0"/>
          <w:numId w:val="2"/>
        </w:numPr>
        <w:spacing w:after="80"/>
      </w:pPr>
      <w:r>
        <w:rPr>
          <w:rFonts w:ascii="Calibri" w:cs="Calibri" w:eastAsia="Calibri" w:hAnsi="Calibri"/>
          <w:b w:val="false"/>
          <w:bCs w:val="false"/>
          <w:color w:val="1B2530"/>
          <w:sz w:val="21"/>
          <w:szCs w:val="21"/>
        </w:rPr>
        <w:t xml:space="preserve">Citation-context leak: 'swine feed improves human iodine supply' is a cited aim in the introduction; the paper's own conclusion is that pork's contribution is marginal.</w:t>
      </w:r>
    </w:p>
    <w:p>
      <w:pPr>
        <w:pStyle w:val="ListParagraph"/>
        <w:numPr>
          <w:ilvl w:val="0"/>
          <w:numId w:val="2"/>
        </w:numPr>
        <w:spacing w:after="80"/>
      </w:pPr>
      <w:r>
        <w:rPr>
          <w:rFonts w:ascii="Calibri" w:cs="Calibri" w:eastAsia="Calibri" w:hAnsi="Calibri"/>
          <w:b w:val="false"/>
          <w:bCs w:val="false"/>
          <w:color w:val="1B2530"/>
          <w:sz w:val="21"/>
          <w:szCs w:val="21"/>
        </w:rPr>
        <w:t xml:space="preserve">Garbled: 'potassium iodide is source of milk'; 'spleen is part of empty body' (the source explicitly defines empty body as the carcase without innards).</w:t>
      </w:r>
    </w:p>
    <w:p>
      <w:r>
        <w:br w:type="page"/>
      </w:r>
    </w:p>
    <w:p>
      <w:pPr>
        <w:pStyle w:val="Heading1"/>
        <w:spacing w:after="140" w:before="280"/>
      </w:pPr>
      <w:r>
        <w:rPr>
          <w:rFonts w:ascii="Calibri" w:cs="Calibri" w:eastAsia="Calibri" w:hAnsi="Calibri"/>
          <w:color w:val="3B4CC0"/>
        </w:rPr>
        <w:t xml:space="preserve">4. All groups: structural and consistency results</w:t>
      </w:r>
    </w:p>
    <w:p>
      <w:pPr>
        <w:spacing w:after="120"/>
      </w:pPr>
      <w:r>
        <w:rPr>
          <w:rFonts w:ascii="Calibri" w:cs="Calibri" w:eastAsia="Calibri" w:hAnsi="Calibri"/>
          <w:b w:val="false"/>
          <w:bCs w:val="false"/>
          <w:i w:val="false"/>
          <w:iCs w:val="false"/>
          <w:color w:val="5E6B7A"/>
          <w:sz w:val="21"/>
          <w:szCs w:val="21"/>
        </w:rPr>
        <w:t xml:space="preserve">Columns: triples; distinct relations; share of relations used only once; share of triples with trivial relations; contradiction pairs found. Duplicates and self-loops are zero everywhere and omitted.</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400"/>
        <w:gridCol w:w="1600"/>
        <w:gridCol w:w="1700"/>
        <w:gridCol w:w="1700"/>
      </w:tblGrid>
      <w:tr>
        <w:trPr>
          <w:tblHeader/>
        </w:trPr>
        <w:tc>
          <w:tcPr>
            <w:tcW w:type="dxa" w:w="34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Group</w:t>
            </w:r>
          </w:p>
        </w:tc>
        <w:tc>
          <w:tcPr>
            <w:tcW w:type="dxa" w:w="13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Triples</w:t>
            </w:r>
          </w:p>
        </w:tc>
        <w:tc>
          <w:tcPr>
            <w:tcW w:type="dxa" w:w="14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Relations</w:t>
            </w:r>
          </w:p>
        </w:tc>
        <w:tc>
          <w:tcPr>
            <w:tcW w:type="dxa" w:w="16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Singleton rel.</w:t>
            </w:r>
          </w:p>
        </w:tc>
        <w:tc>
          <w:tcPr>
            <w:tcW w:type="dxa" w:w="17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Trivial triples</w:t>
            </w:r>
          </w:p>
        </w:tc>
        <w:tc>
          <w:tcPr>
            <w:tcW w:type="dxa" w:w="17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Contradictions</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g01 Review_Dairy_Based</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2868</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670</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14.1%</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10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g02 Chicken_Calcium_Enriched</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2864</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604</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59%</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19.0%</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20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g03 Model_Production_Male</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2510</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505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62%</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12.0%</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24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g04 High_Dairy_Host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2416</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524</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23.6%</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9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g05 Dairy_Impact_Goats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3535</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733</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9.4%</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7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g06 Selenium_Nutrition_Livestock</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2738</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667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61%</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15.0%</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9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g07 Biohydrogenation_Unsat_Fatty</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2858</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657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55%</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10.2%</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23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g08 What_Cryptoxanthin_Vitamin</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982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317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57%</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10.8%</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g10 Cattle_Influence_Meat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2094</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479</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11.6%</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11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g11 Alfalfa_Intake_Cattle</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995</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199</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12.0%</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21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g12 Feed_Poultry_Additives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2660</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437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54%</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7.7%</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29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g13 Iodine_Thyroid_Content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474</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50%</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30.8%</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13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g14 Acid_Milk_Fatty</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2491</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431</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21.1%</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28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g15 Nutrition_Human_Novel</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2842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647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13.8%</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7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g16 Nutrition_Human_Products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2513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548</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18.4%</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g17 Health_Human_Exposure</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3262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654</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54%</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18.9%</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8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g18 Health_Human_Exposure2</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2257</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509</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57%</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9.7%</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9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g20 Feed_Livestock_Feeds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2118</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515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12.3%</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g21 Intestinal_Microbiota_Pigs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3250</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591</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7.3%</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12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g22 Gut_Supplementation_Soluble</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465</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152</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10.5%</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11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g23 Acid_Fatty_Oil</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2163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472</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52%</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20.7%</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27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g24 Acid_Cla_Egg</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1273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311</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62%</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9.3%</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11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g25 Amino_Acid_Ileal</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1362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279</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27.8%</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11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g26 Food_Human_Chain</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3132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645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55%</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21.4%</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g27 Meat_Quality_Factors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2069</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405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53%</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19.9%</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3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g28 Feed_Human_Moringa</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2398</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541</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13.4%</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14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g29 Performance_Growth_Digest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2686</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395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55%</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13.6%</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46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g30 Performance_Digestive_Enzymes</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587</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108</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49%</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12.3%</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g31 Dairy_Farms_Food</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960</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225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53%</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27.1%</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2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g32 Implications_Human_Health</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1569</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382</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59%</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15.0%</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2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g33 Pig_Antioxidant_Meta</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2557</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606</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16.3%</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10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g34 Pig_Bovine_Metagenomic</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1791</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457</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60%</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10.2%</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g35 Properties_Nutritional_Pot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3073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575</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16.5%</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g36 Farm_Animals_Lactation</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1766</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398</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58%</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19.5%</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4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g37 Carcass_Meat_Performance</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1913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272</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14.5%</w:t>
            </w:r>
          </w:p>
        </w:tc>
        <w:tc>
          <w:tcPr>
            <w:tcW w:type="dxa" w:w="1700"/>
            <w:tcMar>
              <w:top w:type="dxa" w:w="50"/>
              <w:left w:type="dxa" w:w="80"/>
              <w:bottom w:type="dxa" w:w="50"/>
              <w:right w:type="dxa" w:w="80"/>
            </w:tcMar>
          </w:tcPr>
          <w:p>
            <w:pPr>
              <w:spacing w:after="0"/>
            </w:pPr>
            <w:r>
              <w:rPr>
                <w:rFonts w:ascii="Calibri" w:cs="Calibri" w:eastAsia="Calibri" w:hAnsi="Calibri"/>
                <w:b/>
                <w:bCs/>
                <w:color w:val="C0392B"/>
                <w:sz w:val="17"/>
                <w:szCs w:val="17"/>
              </w:rPr>
              <w:t xml:space="preserve">26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g38 Nutritional_Value_Meat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1321</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266</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53%</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16.7%</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g40 Potential_Application_Garlic</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1612</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338</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57%</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14.4%</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16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g41 Organic_Acids_Essential</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1633</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334</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56%</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4.8%</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14
</w:t>
            </w:r>
          </w:p>
        </w:tc>
      </w:tr>
      <w:tr>
        <w:tc>
          <w:tcPr>
            <w:tcW w:type="dxa" w:w="34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testset</w:t>
            </w:r>
          </w:p>
        </w:tc>
        <w:tc>
          <w:tcPr>
            <w:tcW w:type="dxa" w:w="13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3497</w:t>
            </w:r>
          </w:p>
        </w:tc>
        <w:tc>
          <w:tcPr>
            <w:tcW w:type="dxa" w:w="14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672</w:t>
            </w:r>
          </w:p>
        </w:tc>
        <w:tc>
          <w:tcPr>
            <w:tcW w:type="dxa" w:w="16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61%</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20.9%</w:t>
            </w:r>
          </w:p>
        </w:tc>
        <w:tc>
          <w:tcPr>
            <w:tcW w:type="dxa" w:w="1700"/>
            <w:tcMar>
              <w:top w:type="dxa" w:w="50"/>
              <w:left w:type="dxa" w:w="80"/>
              <w:bottom w:type="dxa" w:w="50"/>
              <w:right w:type="dxa" w:w="80"/>
            </w:tcMar>
          </w:tcPr>
          <w:p>
            <w:pPr>
              <w:spacing w:after="0"/>
              <w:jc w:val="right"/>
            </w:pPr>
            <w:r>
              <w:rPr>
                <w:rFonts w:ascii="Calibri" w:cs="Calibri" w:eastAsia="Calibri" w:hAnsi="Calibri"/>
                <w:b w:val="false"/>
                <w:bCs w:val="false"/>
                <w:color w:val="1B2530"/>
                <w:sz w:val="17"/>
                <w:szCs w:val="17"/>
              </w:rPr>
              <w:t xml:space="preserve">5</w:t>
            </w:r>
          </w:p>
        </w:tc>
      </w:tr>
    </w:tbl>
    <w:p>
      <w:pPr>
        <w:spacing w:after="120"/>
      </w:pPr>
      <w:r>
        <w:rPr>
          <w:rFonts w:ascii="Calibri" w:cs="Calibri" w:eastAsia="Calibri" w:hAnsi="Calibri"/>
          <w:b w:val="false"/>
          <w:bCs w:val="false"/>
          <w:i w:val="false"/>
          <w:iCs w:val="false"/>
          <w:color w:val="1B2530"/>
          <w:sz w:val="21"/>
          <w:szCs w:val="21"/>
        </w:rPr>
        <w:t xml:space="preserve"/>
      </w:r>
    </w:p>
    <w:p>
      <w:pPr>
        <w:spacing w:after="120"/>
      </w:pPr>
      <w:r>
        <w:rPr>
          <w:rFonts w:ascii="Calibri" w:cs="Calibri" w:eastAsia="Calibri" w:hAnsi="Calibri"/>
          <w:b/>
          <w:bCs/>
          <w:i w:val="false"/>
          <w:iCs w:val="false"/>
          <w:color w:val="1B2530"/>
          <w:sz w:val="21"/>
          <w:szCs w:val="21"/>
        </w:rPr>
        <w:t xml:space="preserve">Totals: 83,554 triples; 7,603 distinct relations (56% singletons); 12,705 trivial triples (15.2%); 495 contradiction pairs. Most-used relations: contains (5,514), increases (4,928), improves (3,971), reduces (3,597), is source of (3,582).</w:t>
      </w:r>
    </w:p>
    <w:p>
      <w:pPr>
        <w:pStyle w:val="Heading1"/>
        <w:spacing w:after="140" w:before="280"/>
      </w:pPr>
      <w:r>
        <w:rPr>
          <w:rFonts w:ascii="Calibri" w:cs="Calibri" w:eastAsia="Calibri" w:hAnsi="Calibri"/>
          <w:color w:val="3B4CC0"/>
        </w:rPr>
        <w:t xml:space="preserve">5. Contradiction census</w:t>
      </w:r>
    </w:p>
    <w:p>
      <w:pPr>
        <w:spacing w:after="120"/>
      </w:pPr>
      <w:r>
        <w:rPr>
          <w:rFonts w:ascii="Calibri" w:cs="Calibri" w:eastAsia="Calibri" w:hAnsi="Calibri"/>
          <w:b w:val="false"/>
          <w:bCs w:val="false"/>
          <w:i w:val="false"/>
          <w:iCs w:val="false"/>
          <w:color w:val="1B2530"/>
          <w:sz w:val="21"/>
          <w:szCs w:val="21"/>
        </w:rPr>
        <w:t xml:space="preserve">A contradiction pair is two triples with the same subject and object whose relations directly oppose each other, with no qualifying context (dose, species, duration) stored on either triple. Some reflect genuinely conflicting findings across papers - but stored this flat, a GraphRAG query can retrieve either side as 'the' fact. 495 such pairs exist; examples: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300"/>
        <w:gridCol w:w="2300"/>
        <w:gridCol w:w="2700"/>
      </w:tblGrid>
      <w:tr>
        <w:trPr>
          <w:tblHeader/>
        </w:trPr>
        <w:tc>
          <w:tcPr>
            <w:tcW w:type="dxa" w:w="9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Group</w:t>
            </w:r>
          </w:p>
        </w:tc>
        <w:tc>
          <w:tcPr>
            <w:tcW w:type="dxa" w:w="27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Subject</w:t>
            </w:r>
          </w:p>
        </w:tc>
        <w:tc>
          <w:tcPr>
            <w:tcW w:type="dxa" w:w="23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Relation A</w:t>
            </w:r>
          </w:p>
        </w:tc>
        <w:tc>
          <w:tcPr>
            <w:tcW w:type="dxa" w:w="23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Relation B</w:t>
            </w:r>
          </w:p>
        </w:tc>
        <w:tc>
          <w:tcPr>
            <w:tcW w:type="dxa" w:w="2700"/>
            <w:shd w:fill="E4E8F8" w:val="clear"/>
            <w:tcMar>
              <w:top w:type="dxa" w:w="50"/>
              <w:left w:type="dxa" w:w="80"/>
              <w:bottom w:type="dxa" w:w="50"/>
              <w:right w:type="dxa" w:w="80"/>
            </w:tcMar>
          </w:tcPr>
          <w:p>
            <w:pPr>
              <w:spacing w:after="0"/>
            </w:pPr>
            <w:r>
              <w:rPr>
                <w:rFonts w:ascii="Calibri" w:cs="Calibri" w:eastAsia="Calibri" w:hAnsi="Calibri"/>
                <w:b/>
                <w:bCs/>
                <w:color w:val="5E6B7A"/>
                <w:sz w:val="18"/>
                <w:szCs w:val="18"/>
              </w:rPr>
              <w:t xml:space="preserve">Object</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g37</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sodium monensin</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reduces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feed efficiency</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g41</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essential oils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decreases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feed intake</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g04</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probiotic</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reduces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average daily feed intake</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g29</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soybean lecithin</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has no effect</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body weight</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g14</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forage lucerne</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has no effect on</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affects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milk yield</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g03</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white lupin</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does not influence</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influences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hind leg meat</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g28</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moringa oleifera</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reduces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alpha-tocopherol</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g23</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n-6:n-3 ratio</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decreases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thigh muscle</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g37</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sunflower oil</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does not affect</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influences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growth performance</w:t>
            </w:r>
          </w:p>
        </w:tc>
      </w:tr>
      <w:tr>
        <w:tc>
          <w:tcPr>
            <w:tcW w:type="dxa" w:w="9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g07</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ensiled olive cake</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has no effect on</w:t>
            </w:r>
          </w:p>
        </w:tc>
        <w:tc>
          <w:tcPr>
            <w:tcW w:type="dxa" w:w="23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increases</w:t>
            </w:r>
          </w:p>
        </w:tc>
        <w:tc>
          <w:tcPr>
            <w:tcW w:type="dxa" w:w="2700"/>
            <w:tcMar>
              <w:top w:type="dxa" w:w="50"/>
              <w:left w:type="dxa" w:w="80"/>
              <w:bottom w:type="dxa" w:w="50"/>
              <w:right w:type="dxa" w:w="80"/>
            </w:tcMar>
          </w:tcPr>
          <w:p>
            <w:pPr>
              <w:spacing w:after="0"/>
            </w:pPr>
            <w:r>
              <w:rPr>
                <w:rFonts w:ascii="Calibri" w:cs="Calibri" w:eastAsia="Calibri" w:hAnsi="Calibri"/>
                <w:b w:val="false"/>
                <w:bCs w:val="false"/>
                <w:color w:val="1B2530"/>
                <w:sz w:val="18"/>
                <w:szCs w:val="18"/>
              </w:rPr>
              <w:t xml:space="preserve">fatty acid synthase</w:t>
            </w:r>
          </w:p>
        </w:tc>
      </w:tr>
    </w:tbl>
    <w:p>
      <w:pPr>
        <w:spacing w:after="120"/>
      </w:pPr>
      <w:r>
        <w:rPr>
          <w:rFonts w:ascii="Calibri" w:cs="Calibri" w:eastAsia="Calibri" w:hAnsi="Calibri"/>
          <w:b w:val="false"/>
          <w:bCs w:val="false"/>
          <w:i w:val="false"/>
          <w:iCs w:val="false"/>
          <w:color w:val="1B2530"/>
          <w:sz w:val="21"/>
          <w:szCs w:val="21"/>
        </w:rPr>
        <w:t xml:space="preserve"/>
      </w:r>
    </w:p>
    <w:p>
      <w:pPr>
        <w:spacing w:after="120"/>
      </w:pPr>
      <w:r>
        <w:rPr>
          <w:rFonts w:ascii="Calibri" w:cs="Calibri" w:eastAsia="Calibri" w:hAnsi="Calibri"/>
          <w:b w:val="false"/>
          <w:bCs w:val="false"/>
          <w:i/>
          <w:iCs/>
          <w:color w:val="C0392B"/>
          <w:sz w:val="21"/>
          <w:szCs w:val="21"/>
        </w:rPr>
        <w:t xml:space="preserve">Note the first row: monensin and feed efficiency is directly adjacent to the team's own QA test question about monensin. A user asking 'does monensin improve feed efficiency?' can be served either triple.</w:t>
      </w:r>
    </w:p>
    <w:p>
      <w:pPr>
        <w:pStyle w:val="Heading1"/>
        <w:spacing w:after="140" w:before="280"/>
      </w:pPr>
      <w:r>
        <w:rPr>
          <w:rFonts w:ascii="Calibri" w:cs="Calibri" w:eastAsia="Calibri" w:hAnsi="Calibri"/>
          <w:color w:val="3B4CC0"/>
        </w:rPr>
        <w:t xml:space="preserve">6. How to improve it: phased plan</w:t>
      </w:r>
    </w:p>
    <w:p>
      <w:pPr>
        <w:spacing w:after="120"/>
      </w:pPr>
      <w:r>
        <w:rPr>
          <w:rFonts w:ascii="Calibri" w:cs="Calibri" w:eastAsia="Calibri" w:hAnsi="Calibri"/>
          <w:b w:val="false"/>
          <w:bCs w:val="false"/>
          <w:i w:val="false"/>
          <w:iCs w:val="false"/>
          <w:color w:val="1B2530"/>
          <w:sz w:val="21"/>
          <w:szCs w:val="21"/>
        </w:rPr>
        <w:t xml:space="preserve">Ordered by effort-to-impact. Phases 1-2 need no LLM and no changes to extraction; they can run this week.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700"/>
        <w:gridCol w:w="4100"/>
      </w:tblGrid>
      <w:tr>
        <w:trPr>
          <w:tblHeader/>
        </w:trPr>
        <w:tc>
          <w:tcPr>
            <w:tcW w:type="dxa" w:w="7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Phase</w:t>
            </w:r>
          </w:p>
        </w:tc>
        <w:tc>
          <w:tcPr>
            <w:tcW w:type="dxa" w:w="37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Action</w:t>
            </w:r>
          </w:p>
        </w:tc>
        <w:tc>
          <w:tcPr>
            <w:tcW w:type="dxa" w:w="17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Effort</w:t>
            </w:r>
          </w:p>
        </w:tc>
        <w:tc>
          <w:tcPr>
            <w:tcW w:type="dxa" w:w="4100"/>
            <w:shd w:fill="E4E8F8" w:val="clear"/>
            <w:tcMar>
              <w:top w:type="dxa" w:w="50"/>
              <w:left w:type="dxa" w:w="80"/>
              <w:bottom w:type="dxa" w:w="50"/>
              <w:right w:type="dxa" w:w="80"/>
            </w:tcMar>
          </w:tcPr>
          <w:p>
            <w:pPr>
              <w:spacing w:after="0"/>
            </w:pPr>
            <w:r>
              <w:rPr>
                <w:rFonts w:ascii="Calibri" w:cs="Calibri" w:eastAsia="Calibri" w:hAnsi="Calibri"/>
                <w:b/>
                <w:bCs/>
                <w:color w:val="5E6B7A"/>
                <w:sz w:val="17"/>
                <w:szCs w:val="17"/>
              </w:rPr>
              <w:t xml:space="preserve">Expected impact</w:t>
            </w:r>
          </w:p>
        </w:tc>
      </w:tr>
      <w:tr>
        <w:tc>
          <w:tcPr>
            <w:tcW w:type="dxa" w:w="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w:t>
            </w:r>
          </w:p>
        </w:tc>
        <w:tc>
          <w:tcPr>
            <w:tcW w:type="dxa" w:w="3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Prune trivial triples (is measured in, is component of, ...) and normalize the 4,267 singleton relations onto a controlled vocabulary (~50 relations)</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Script only, 1-2 days</w:t>
            </w:r>
          </w:p>
        </w:tc>
        <w:tc>
          <w:tcPr>
            <w:tcW w:type="dxa" w:w="41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Graph shrinks ~15%, relation space shrinks &gt;50%, retrieval precision up with zero information loss on facts</w:t>
            </w:r>
          </w:p>
        </w:tc>
      </w:tr>
      <w:tr>
        <w:tc>
          <w:tcPr>
            <w:tcW w:type="dxa" w:w="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2</w:t>
            </w:r>
          </w:p>
        </w:tc>
        <w:tc>
          <w:tcPr>
            <w:tcW w:type="dxa" w:w="3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Contradiction triage: for each of the 495 pairs, pull both triples' source chunks (chunk_ids already stored) side by side for review</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Script + review sheet, 2-3 days</w:t>
            </w:r>
          </w:p>
        </w:tc>
        <w:tc>
          <w:tcPr>
            <w:tcW w:type="dxa" w:w="41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Separates extraction errors (delete) from genuine conflicting findings (qualify) - also produces labeled data for Phase 3</w:t>
            </w:r>
          </w:p>
        </w:tc>
      </w:tr>
      <w:tr>
        <w:tc>
          <w:tcPr>
            <w:tcW w:type="dxa" w:w="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3</w:t>
            </w:r>
          </w:p>
        </w:tc>
        <w:tc>
          <w:tcPr>
            <w:tcW w:type="dxa" w:w="3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Judge filter stage: run the released GraphJudge LoRA judge (no training needed) over every triple vs its own source chunk; then fine-tune a domain judge on HPRC using Phase 2 labels + gold set</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1-2 weeks, HPRC in hand</w:t>
            </w:r>
          </w:p>
        </w:tc>
        <w:tc>
          <w:tcPr>
            <w:tcW w:type="dxa" w:w="41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Targets the 16% wrong class; paper shows &gt;90% judgement accuracy; precision rises without recall loss (unlike rule filters)</w:t>
            </w:r>
          </w:p>
        </w:tc>
      </w:tr>
      <w:tr>
        <w:tc>
          <w:tcPr>
            <w:tcW w:type="dxa" w:w="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4</w:t>
            </w:r>
          </w:p>
        </w:tc>
        <w:tc>
          <w:tcPr>
            <w:tcW w:type="dxa" w:w="3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Qualified triples: attach condition fields (dose, species, duration, study) to effect relations so conflicting findings coexist correctly</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Schema + re-extraction prompt change</w:t>
            </w:r>
          </w:p>
        </w:tc>
        <w:tc>
          <w:tcPr>
            <w:tcW w:type="dxa" w:w="41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Fixes the root cause of contradictions; this is also the team's publishable research contribution</w:t>
            </w:r>
          </w:p>
        </w:tc>
      </w:tr>
      <w:tr>
        <w:tc>
          <w:tcPr>
            <w:tcW w:type="dxa" w:w="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5</w:t>
            </w:r>
          </w:p>
        </w:tc>
        <w:tc>
          <w:tcPr>
            <w:tcW w:type="dxa" w:w="3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Re-evaluate: re-run this analysis plus the RAG-vs-GraphRAG benchmark on the cleaned graph (and setting B)</w:t>
            </w:r>
          </w:p>
        </w:tc>
        <w:tc>
          <w:tcPr>
            <w:tcW w:type="dxa" w:w="17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Automated, ~2 days GPU</w:t>
            </w:r>
          </w:p>
        </w:tc>
        <w:tc>
          <w:tcPr>
            <w:tcW w:type="dxa" w:w="4100"/>
            <w:tcMar>
              <w:top w:type="dxa" w:w="50"/>
              <w:left w:type="dxa" w:w="80"/>
              <w:bottom w:type="dxa" w:w="50"/>
              <w:right w:type="dxa" w:w="80"/>
            </w:tcMar>
          </w:tcPr>
          <w:p>
            <w:pPr>
              <w:spacing w:after="0"/>
            </w:pPr>
            <w:r>
              <w:rPr>
                <w:rFonts w:ascii="Calibri" w:cs="Calibri" w:eastAsia="Calibri" w:hAnsi="Calibri"/>
                <w:b w:val="false"/>
                <w:bCs w:val="false"/>
                <w:color w:val="1B2530"/>
                <w:sz w:val="17"/>
                <w:szCs w:val="17"/>
              </w:rPr>
              <w:t xml:space="preserve">Measures whether KG quality gains show up as answer quality gains - the result both papers need</w:t>
            </w:r>
          </w:p>
        </w:tc>
      </w:tr>
    </w:tbl>
    <w:p>
      <w:pPr>
        <w:spacing w:after="120"/>
      </w:pPr>
      <w:r>
        <w:rPr>
          <w:rFonts w:ascii="Calibri" w:cs="Calibri" w:eastAsia="Calibri" w:hAnsi="Calibri"/>
          <w:b w:val="false"/>
          <w:bCs w:val="false"/>
          <w:i w:val="false"/>
          <w:iCs w:val="false"/>
          <w:color w:val="1B2530"/>
          <w:sz w:val="21"/>
          <w:szCs w:val="21"/>
        </w:rPr>
        <w:t xml:space="preserve"/>
      </w:r>
    </w:p>
    <w:p>
      <w:pPr>
        <w:pStyle w:val="Heading2"/>
        <w:spacing w:after="110" w:before="220"/>
      </w:pPr>
      <w:r>
        <w:rPr>
          <w:rFonts w:ascii="Calibri" w:cs="Calibri" w:eastAsia="Calibri" w:hAnsi="Calibri"/>
          <w:color w:val="1B2530"/>
        </w:rPr>
        <w:t xml:space="preserve">Summary recommendations</w:t>
      </w:r>
    </w:p>
    <w:p>
      <w:pPr>
        <w:pStyle w:val="ListParagraph"/>
        <w:numPr>
          <w:ilvl w:val="0"/>
          <w:numId w:val="2"/>
        </w:numPr>
        <w:spacing w:after="80"/>
      </w:pPr>
      <w:r>
        <w:rPr>
          <w:rFonts w:ascii="Calibri" w:cs="Calibri" w:eastAsia="Calibri" w:hAnsi="Calibri"/>
          <w:b/>
          <w:bCs/>
          <w:color w:val="1B2530"/>
          <w:sz w:val="21"/>
          <w:szCs w:val="21"/>
        </w:rPr>
        <w:t xml:space="preserve">1. Add a graph-judgement filter stage (GraphJudge, EMNLP 2025): every triple is checked against its own source chunks, which the export already stores (chunk_ids column). This targets the 16% wrong class mechanically; released LoRA judge weights exist, and HPRC allocation is in hand for a domain fine-tune.</w:t>
      </w:r>
    </w:p>
    <w:p>
      <w:pPr>
        <w:pStyle w:val="ListParagraph"/>
        <w:numPr>
          <w:ilvl w:val="0"/>
          <w:numId w:val="2"/>
        </w:numPr>
        <w:spacing w:after="80"/>
      </w:pPr>
      <w:r>
        <w:rPr>
          <w:rFonts w:ascii="Calibri" w:cs="Calibri" w:eastAsia="Calibri" w:hAnsi="Calibri"/>
          <w:b w:val="false"/>
          <w:bCs w:val="false"/>
          <w:color w:val="1B2530"/>
          <w:sz w:val="21"/>
          <w:szCs w:val="21"/>
        </w:rPr>
        <w:t xml:space="preserve">2. Normalize relations: 7,603 relation types is OpenIE-style vocabulary explosion. Mapping singletons onto a controlled vocabulary (or clustering, as in KGGen) would shrink the relation space by more than half without losing facts.</w:t>
      </w:r>
    </w:p>
    <w:p>
      <w:pPr>
        <w:pStyle w:val="ListParagraph"/>
        <w:numPr>
          <w:ilvl w:val="0"/>
          <w:numId w:val="2"/>
        </w:numPr>
        <w:spacing w:after="80"/>
      </w:pPr>
      <w:r>
        <w:rPr>
          <w:rFonts w:ascii="Calibri" w:cs="Calibri" w:eastAsia="Calibri" w:hAnsi="Calibri"/>
          <w:b w:val="false"/>
          <w:bCs w:val="false"/>
          <w:color w:val="1B2530"/>
          <w:sz w:val="21"/>
          <w:szCs w:val="21"/>
        </w:rPr>
        <w:t xml:space="preserve">3. Prune trivial triples: 12,705 'is measured in / is component of' style triples add retrieval noise with near-zero knowledge value. This is the concrete, no-LLM-needed starting point for the pruning work.</w:t>
      </w:r>
    </w:p>
    <w:p>
      <w:pPr>
        <w:pStyle w:val="ListParagraph"/>
        <w:numPr>
          <w:ilvl w:val="0"/>
          <w:numId w:val="2"/>
        </w:numPr>
        <w:spacing w:after="80"/>
      </w:pPr>
      <w:r>
        <w:rPr>
          <w:rFonts w:ascii="Calibri" w:cs="Calibri" w:eastAsia="Calibri" w:hAnsi="Calibri"/>
          <w:b w:val="false"/>
          <w:bCs w:val="false"/>
          <w:color w:val="1B2530"/>
          <w:sz w:val="21"/>
          <w:szCs w:val="21"/>
        </w:rPr>
        <w:t xml:space="preserve">4. Resolve or qualify contradictions: for each of the 495 pairs, either one side is an extraction error (judge decides) or both findings are real and need their conditions (dose, species, study) attached. The second case is the 'qualified triples / richer knowledge units' research direction - our corpus now provides the evidence that flat triples cannot represent it.</w:t>
      </w:r>
    </w:p>
    <w:p>
      <w:pPr>
        <w:pStyle w:val="ListParagraph"/>
        <w:numPr>
          <w:ilvl w:val="0"/>
          <w:numId w:val="2"/>
        </w:numPr>
        <w:spacing w:after="80"/>
      </w:pPr>
      <w:r>
        <w:rPr>
          <w:rFonts w:ascii="Calibri" w:cs="Calibri" w:eastAsia="Calibri" w:hAnsi="Calibri"/>
          <w:b w:val="false"/>
          <w:bCs w:val="false"/>
          <w:color w:val="1B2530"/>
          <w:sz w:val="21"/>
          <w:szCs w:val="21"/>
        </w:rPr>
        <w:t xml:space="preserve">5. Re-run this analysis on the 35 MB all-papers graph (setting B) locally - the script is in the repo and runs in minutes; cross-paper merging will likely raise the contradiction count and makes qualification more urgent.</w:t>
      </w:r>
    </w:p>
    <w:p>
      <w:pPr>
        <w:pStyle w:val="Heading1"/>
        <w:spacing w:after="140" w:before="280"/>
      </w:pPr>
      <w:r>
        <w:rPr>
          <w:rFonts w:ascii="Calibri" w:cs="Calibri" w:eastAsia="Calibri" w:hAnsi="Calibri"/>
          <w:color w:val="3B4CC0"/>
        </w:rPr>
        <w:t xml:space="preserve">7. Files and reproducibility</w:t>
      </w:r>
    </w:p>
    <w:p>
      <w:pPr>
        <w:pStyle w:val="ListParagraph"/>
        <w:numPr>
          <w:ilvl w:val="0"/>
          <w:numId w:val="2"/>
        </w:numPr>
        <w:spacing w:after="80"/>
      </w:pPr>
      <w:r>
        <w:rPr>
          <w:rFonts w:ascii="Calibri" w:cs="Calibri" w:eastAsia="Calibri" w:hAnsi="Calibri"/>
          <w:b w:val="false"/>
          <w:bCs w:val="false"/>
          <w:color w:val="1B2530"/>
          <w:sz w:val="21"/>
          <w:szCs w:val="21"/>
        </w:rPr>
        <w:t xml:space="preserve">Repo: github.com/ssrikar1503/directed-studies-kgcompass -&gt; experiments/sumanth-kg-eval/</w:t>
      </w:r>
    </w:p>
    <w:p>
      <w:pPr>
        <w:pStyle w:val="ListParagraph"/>
        <w:numPr>
          <w:ilvl w:val="0"/>
          <w:numId w:val="2"/>
        </w:numPr>
        <w:spacing w:after="80"/>
      </w:pPr>
      <w:r>
        <w:rPr>
          <w:rFonts w:ascii="Calibri" w:cs="Calibri" w:eastAsia="Calibri" w:hAnsi="Calibri"/>
          <w:b w:val="false"/>
          <w:bCs w:val="false"/>
          <w:color w:val="1B2530"/>
          <w:sz w:val="21"/>
          <w:szCs w:val="21"/>
        </w:rPr>
        <w:t xml:space="preserve">all-groups/per_group_quality.csv - the full per-group table; all-groups/contradictions.csv - all 495 pairs with group, subject, relations, object.</w:t>
      </w:r>
    </w:p>
    <w:p>
      <w:pPr>
        <w:pStyle w:val="ListParagraph"/>
        <w:numPr>
          <w:ilvl w:val="0"/>
          <w:numId w:val="2"/>
        </w:numPr>
        <w:spacing w:after="80"/>
      </w:pPr>
      <w:r>
        <w:rPr>
          <w:rFonts w:ascii="Calibri" w:cs="Calibri" w:eastAsia="Calibri" w:hAnsi="Calibri"/>
          <w:b w:val="false"/>
          <w:bCs w:val="false"/>
          <w:color w:val="1B2530"/>
          <w:sz w:val="21"/>
          <w:szCs w:val="21"/>
        </w:rPr>
        <w:t xml:space="preserve">sample50_judged.csv - the 50 judged triples with verdicts and quoted evidence, open for audit.</w:t>
      </w:r>
    </w:p>
    <w:p>
      <w:pPr>
        <w:pStyle w:val="ListParagraph"/>
        <w:numPr>
          <w:ilvl w:val="0"/>
          <w:numId w:val="2"/>
        </w:numPr>
        <w:spacing w:after="80"/>
      </w:pPr>
      <w:r>
        <w:rPr>
          <w:rFonts w:ascii="Calibri" w:cs="Calibri" w:eastAsia="Calibri" w:hAnsi="Calibri"/>
          <w:b w:val="false"/>
          <w:bCs w:val="false"/>
          <w:color w:val="1B2530"/>
          <w:sz w:val="21"/>
          <w:szCs w:val="21"/>
        </w:rPr>
        <w:t xml:space="preserve">SUMANTH_KG_EVAL.md - the group13 deep-dive write-up; the analysis script reproduces every number in this document from the triples.csv exports.</w:t>
      </w:r>
    </w:p>
    <w:sectPr>
      <w:pgSz w:w="12240" w:h="15840" w:orient="portrait"/>
      <w:pgMar w:top="1080" w:right="1240" w:bottom="1080" w:left="12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53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2026-10-15T04:54:09.499Z</dcterms:created>
  <dcterms:modified xsi:type="dcterms:W3CDTF">2026-10-15T04:54:09.502Z</dcterms:modified>
</cp:coreProperties>
</file>

<file path=docProps/custom.xml><?xml version="1.0" encoding="utf-8"?>
<Properties xmlns="http://schemas.openxmlformats.org/officeDocument/2006/custom-properties" xmlns:vt="http://schemas.openxmlformats.org/officeDocument/2006/docPropsVTypes"/>
</file>