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Professional Couriers (TPC)</w:t>
      </w:r>
    </w:p>
    <w:p>
      <w:pPr>
        <w:jc w:val="center"/>
      </w:pPr>
      <w:r>
        <w:rPr>
          <w:b/>
          <w:sz w:val="32"/>
        </w:rPr>
        <w:t>Web API Integration Manual for Shipping Partners</w:t>
      </w:r>
    </w:p>
    <w:p>
      <w:pPr>
        <w:jc w:val="center"/>
      </w:pPr>
      <w:r>
        <w:t>Version: 2.1 | Release Date: April 2026</w:t>
        <w:br/>
        <w:t>Confidential - For Partner Use Only</w:t>
      </w:r>
    </w:p>
    <w:p>
      <w:r>
        <w:br w:type="page"/>
      </w:r>
    </w:p>
    <w:p>
      <w:pPr>
        <w:pStyle w:val="Heading1"/>
      </w:pPr>
      <w:r>
        <w:t>1. Introduction</w:t>
      </w:r>
    </w:p>
    <w:p>
      <w:r>
        <w:t>Welcome to The Professional Couriers (TPC) API Documentation. This manual provides comprehensive technical instructions for shipping partners, eCommerce platforms, and OMS developers to integrate TPC's nationwide logistics capabilities into their applications. By integrating this RESTful API, partners can seamlessly automate order manifestation, generate compliant shipping labels, check pin code serviceability, track shipments in real time, and manage Order NDR (Non-Delivery Report) actions.</w:t>
      </w:r>
    </w:p>
    <w:p>
      <w:pPr>
        <w:pStyle w:val="Heading2"/>
      </w:pPr>
      <w:r>
        <w:t>1.1 Logistics Services Supported</w:t>
      </w:r>
    </w:p>
    <w:p>
      <w:pPr>
        <w:pStyle w:val="ListBullet"/>
      </w:pPr>
      <w:r>
        <w:t>The API supports booking for the following TPC service types:</w:t>
      </w:r>
    </w:p>
    <w:p>
      <w:pPr>
        <w:pStyle w:val="ListBullet"/>
      </w:pPr>
      <w:r>
        <w:t>Pro Premium: Guaranteed priority delivery across major metros.</w:t>
      </w:r>
    </w:p>
    <w:p>
      <w:pPr>
        <w:pStyle w:val="ListBullet"/>
      </w:pPr>
      <w:r>
        <w:t>Dawn to Dusk: Same-day delivery services for shipments booked in the morning.</w:t>
      </w:r>
    </w:p>
    <w:p>
      <w:pPr>
        <w:pStyle w:val="ListBullet"/>
      </w:pPr>
      <w:r>
        <w:t>Air Cargo / Surface Cargo: For bulk consignments and B2B freight.</w:t>
      </w:r>
    </w:p>
    <w:p>
      <w:pPr>
        <w:pStyle w:val="Heading1"/>
      </w:pPr>
      <w:r>
        <w:t>2. Environments &amp; Authentication</w:t>
      </w:r>
    </w:p>
    <w:p>
      <w:r>
        <w:t>TPC provides two distinct environments. Partners must certify their integration in the Sandbox before moving to Production.</w:t>
      </w:r>
    </w:p>
    <w:p>
      <w:r>
        <w:t>Sandbox URL: https://api-sandbox.tpcglobe.com/v1</w:t>
      </w:r>
    </w:p>
    <w:p>
      <w:r>
        <w:t>Production URL: https://api.tpcglobe.com/v1</w:t>
      </w:r>
    </w:p>
    <w:p>
      <w:pPr>
        <w:pStyle w:val="Heading2"/>
      </w:pPr>
      <w:r>
        <w:t>2.1 Authentication Header</w:t>
      </w:r>
    </w:p>
    <w:p>
      <w:r>
        <w:t>All API requests require Bearer Token authentication. Your unique Partner API Key can be obtained from the TPC Partner Portal.</w:t>
      </w:r>
    </w:p>
    <w:p>
      <w:r>
        <w:rPr>
          <w:rFonts w:ascii="Courier New" w:hAnsi="Courier New"/>
        </w:rPr>
        <w:t>Authorization: Bearer &lt;YOUR_PARTNER_API_KEY&gt;</w:t>
        <w:br/>
        <w:t>Content-Type: application/json</w:t>
      </w:r>
    </w:p>
    <w:p>
      <w:pPr>
        <w:pStyle w:val="Heading1"/>
      </w:pPr>
      <w:r>
        <w:t>3. Core API Endpoints</w:t>
      </w:r>
    </w:p>
    <w:p>
      <w:pPr>
        <w:pStyle w:val="Heading2"/>
      </w:pPr>
      <w:r>
        <w:t>3.1 Check Pin Code Serviceability</w:t>
      </w:r>
    </w:p>
    <w:p>
      <w:r>
        <w:t>Endpoint: GET /serviceability</w:t>
      </w:r>
    </w:p>
    <w:p>
      <w:r>
        <w:t>Description: Verifies if TPC can deliver from the origin PIN code to the destination PIN code and returns the estimated delivery timeframe.</w:t>
      </w:r>
    </w:p>
    <w:p>
      <w:r>
        <w:t>Query Parameters:</w:t>
        <w:br/>
        <w:t>- origin_pin (string, required)</w:t>
        <w:br/>
        <w:t>- dest_pin (string, required)</w:t>
        <w:br/>
        <w:t>- order_weight (float, optional)</w:t>
      </w:r>
    </w:p>
    <w:p>
      <w:r>
        <w:rPr>
          <w:rFonts w:ascii="Courier New" w:hAnsi="Courier New"/>
        </w:rPr>
        <w:t>Response Example:</w:t>
        <w:br/>
        <w:t>{</w:t>
        <w:br/>
        <w:t xml:space="preserve">  "success": true,</w:t>
        <w:br/>
        <w:t xml:space="preserve">  "data": {</w:t>
        <w:br/>
        <w:t xml:space="preserve">    "serviceable": true,</w:t>
        <w:br/>
        <w:t xml:space="preserve">    "edd": "2026-04-28",</w:t>
        <w:br/>
        <w:t xml:space="preserve">    "available_services": ["PRO_PREMIUM", "SURFACE_CARGO"]</w:t>
        <w:br/>
        <w:t xml:space="preserve">  }</w:t>
        <w:br/>
        <w:t>}</w:t>
      </w:r>
    </w:p>
    <w:p>
      <w:pPr>
        <w:pStyle w:val="Heading2"/>
      </w:pPr>
      <w:r>
        <w:t>3.2 Create Shipment (Manifestation)</w:t>
      </w:r>
    </w:p>
    <w:p>
      <w:r>
        <w:t>Endpoint: POST /shipments</w:t>
      </w:r>
    </w:p>
    <w:p>
      <w:r>
        <w:t>Description: Creates a new shipment in the TPC system, assigns a 7-12 character alphanumeric AWB (Consignment Number), and generates a shipping label URL.</w:t>
      </w:r>
    </w:p>
    <w:p>
      <w:r>
        <w:rPr>
          <w:rFonts w:ascii="Courier New" w:hAnsi="Courier New"/>
        </w:rPr>
        <w:t>Request Body Example:</w:t>
        <w:br/>
        <w:t>{</w:t>
        <w:br/>
        <w:t xml:space="preserve">  "order_id": "ORD-99382",</w:t>
        <w:br/>
        <w:t xml:space="preserve">  "service_type": "PRO_PREMIUM",</w:t>
        <w:br/>
        <w:t xml:space="preserve">  "payment_mode": "PREPAID",</w:t>
        <w:br/>
        <w:t xml:space="preserve">  "shipper": {</w:t>
        <w:br/>
        <w:t xml:space="preserve">    "name": "Acme Corp",</w:t>
        <w:br/>
        <w:t xml:space="preserve">    "phone": "9876543210",</w:t>
        <w:br/>
        <w:t xml:space="preserve">    "address": "123 Tech Park",</w:t>
        <w:br/>
        <w:t xml:space="preserve">    "city": "Bangalore",</w:t>
        <w:br/>
        <w:t xml:space="preserve">    "pin": "560001"</w:t>
        <w:br/>
        <w:t xml:space="preserve">  },</w:t>
        <w:br/>
        <w:t xml:space="preserve">  "consignee": {</w:t>
        <w:br/>
        <w:t xml:space="preserve">    "name": "John Doe",</w:t>
        <w:br/>
        <w:t xml:space="preserve">    "phone": "9123456780",</w:t>
        <w:br/>
        <w:t xml:space="preserve">    "address": "456 Main St",</w:t>
        <w:br/>
        <w:t xml:space="preserve">    "city": "Chennai",</w:t>
        <w:br/>
        <w:t xml:space="preserve">    "pin": "600001"</w:t>
        <w:br/>
        <w:t xml:space="preserve">  },</w:t>
        <w:br/>
        <w:t xml:space="preserve">  "parcel": {</w:t>
        <w:br/>
        <w:t xml:space="preserve">    "weight_kg": 1.5,</w:t>
        <w:br/>
        <w:t xml:space="preserve">    "length_cm": 20,</w:t>
        <w:br/>
        <w:t xml:space="preserve">    "width_cm": 15,</w:t>
        <w:br/>
        <w:t xml:space="preserve">    "height_cm": 10,</w:t>
        <w:br/>
        <w:t xml:space="preserve">    "content_desc": "Electronics"</w:t>
        <w:br/>
        <w:t xml:space="preserve">  }</w:t>
        <w:br/>
        <w:t>}</w:t>
      </w:r>
    </w:p>
    <w:p>
      <w:r>
        <w:rPr>
          <w:rFonts w:ascii="Courier New" w:hAnsi="Courier New"/>
        </w:rPr>
        <w:t>Response Example:</w:t>
        <w:br/>
        <w:t>{</w:t>
        <w:br/>
        <w:t xml:space="preserve">  "success": true,</w:t>
        <w:br/>
        <w:t xml:space="preserve">  "message": "Shipment manifested successfully",</w:t>
        <w:br/>
        <w:t xml:space="preserve">  "data": {</w:t>
        <w:br/>
        <w:t xml:space="preserve">    "awb_number": "MAA12345678",</w:t>
        <w:br/>
        <w:t xml:space="preserve">    "routing_code": "MAA-SOU-01",</w:t>
        <w:br/>
        <w:t xml:space="preserve">    "label_url": "https://api.tpcglobe.com/labels/MAA12345678.pdf"</w:t>
        <w:br/>
        <w:t xml:space="preserve">  }</w:t>
        <w:br/>
        <w:t>}</w:t>
      </w:r>
    </w:p>
    <w:p>
      <w:pPr>
        <w:pStyle w:val="Heading2"/>
      </w:pPr>
      <w:r>
        <w:t>3.3 Track Shipment</w:t>
      </w:r>
    </w:p>
    <w:p>
      <w:r>
        <w:t>Endpoint: GET /tracking/{awb_number}</w:t>
      </w:r>
    </w:p>
    <w:p>
      <w:r>
        <w:t>Description: Retrieves real-time tracking checkpoints for a given AWB. TPC consignment numbers typically start with a 3-letter station code (e.g., BOM, MAA) followed by digits.</w:t>
      </w:r>
    </w:p>
    <w:p>
      <w:r>
        <w:rPr>
          <w:rFonts w:ascii="Courier New" w:hAnsi="Courier New"/>
        </w:rPr>
        <w:t>Response Example:</w:t>
        <w:br/>
        <w:t>{</w:t>
        <w:br/>
        <w:t xml:space="preserve">  "success": true,</w:t>
        <w:br/>
        <w:t xml:space="preserve">  "awb_number": "MAA12345678",</w:t>
        <w:br/>
        <w:t xml:space="preserve">  "current_status": "IN_TRANSIT",</w:t>
        <w:br/>
        <w:t xml:space="preserve">  "scans": [</w:t>
        <w:br/>
        <w:t xml:space="preserve">    {</w:t>
        <w:br/>
        <w:t xml:space="preserve">      "timestamp": "2026-04-25T10:30:00Z",</w:t>
        <w:br/>
        <w:t xml:space="preserve">      "location": "Chennai Hub",</w:t>
        <w:br/>
        <w:t xml:space="preserve">      "status": "Manifested / Booked",</w:t>
        <w:br/>
        <w:t xml:space="preserve">      "remarks": "Shipment picked up"</w:t>
        <w:br/>
        <w:t xml:space="preserve">    },</w:t>
        <w:br/>
        <w:t xml:space="preserve">    {</w:t>
        <w:br/>
        <w:t xml:space="preserve">      "timestamp": "2026-04-25T18:45:00Z",</w:t>
        <w:br/>
        <w:t xml:space="preserve">      "location": "Bangalore Hub",</w:t>
        <w:br/>
        <w:t xml:space="preserve">      "status": "Received at Facility",</w:t>
        <w:br/>
        <w:t xml:space="preserve">      "remarks": "In Transit"</w:t>
        <w:br/>
        <w:t xml:space="preserve">    }</w:t>
        <w:br/>
        <w:t xml:space="preserve">  ]</w:t>
        <w:br/>
        <w:t>}</w:t>
      </w:r>
    </w:p>
    <w:p>
      <w:pPr>
        <w:pStyle w:val="Heading2"/>
      </w:pPr>
      <w:r>
        <w:t>3.4 Cancel Shipment</w:t>
      </w:r>
    </w:p>
    <w:p>
      <w:r>
        <w:t>Endpoint: POST /shipments/{awb_number}/cancel</w:t>
      </w:r>
    </w:p>
    <w:p>
      <w:r>
        <w:t>Description: Cancels a manifested shipment. Note: Shipments can only be cancelled before they are marked as 'Picked Up' or 'In Transit'.</w:t>
      </w:r>
    </w:p>
    <w:p>
      <w:pPr>
        <w:pStyle w:val="Heading1"/>
      </w:pPr>
      <w:r>
        <w:t>4. Webhook Integrations</w:t>
      </w:r>
    </w:p>
    <w:p>
      <w:r>
        <w:t>Instead of polling the tracking endpoint, partners should implement webhooks to receive real-time push notifications for shipment updates. Configure your Webhook Listener URL in the TPC Partner Dashboard.</w:t>
      </w:r>
    </w:p>
    <w:p>
      <w:pPr>
        <w:pStyle w:val="ListBullet"/>
      </w:pPr>
      <w:r>
        <w:t>Events Supported:</w:t>
      </w:r>
    </w:p>
    <w:p>
      <w:pPr>
        <w:pStyle w:val="ListBullet"/>
      </w:pPr>
      <w:r>
        <w:t>SHIPMENT_PICKED_UP</w:t>
      </w:r>
    </w:p>
    <w:p>
      <w:pPr>
        <w:pStyle w:val="ListBullet"/>
      </w:pPr>
      <w:r>
        <w:t>SHIPMENT_IN_TRANSIT</w:t>
      </w:r>
    </w:p>
    <w:p>
      <w:pPr>
        <w:pStyle w:val="ListBullet"/>
      </w:pPr>
      <w:r>
        <w:t>SHIPMENT_OUT_FOR_DELIVERY</w:t>
      </w:r>
    </w:p>
    <w:p>
      <w:pPr>
        <w:pStyle w:val="ListBullet"/>
      </w:pPr>
      <w:r>
        <w:t>SHIPMENT_DELIVERED</w:t>
      </w:r>
    </w:p>
    <w:p>
      <w:pPr>
        <w:pStyle w:val="ListBullet"/>
      </w:pPr>
      <w:r>
        <w:t>SHIPMENT_NDR (Non-Delivery Report)</w:t>
      </w:r>
    </w:p>
    <w:p>
      <w:pPr>
        <w:pStyle w:val="Heading1"/>
      </w:pPr>
      <w:r>
        <w:t>5. Error Codes &amp; Statuses</w:t>
      </w:r>
    </w:p>
    <w:tbl>
      <w:tblPr>
        <w:tblStyle w:val="TableGrid"/>
        <w:tblW w:type="auto" w:w="0"/>
        <w:tblLook w:firstColumn="1" w:firstRow="1" w:lastColumn="0" w:lastRow="0" w:noHBand="0" w:noVBand="1" w:val="04A0"/>
      </w:tblPr>
      <w:tblGrid>
        <w:gridCol w:w="2880"/>
        <w:gridCol w:w="2880"/>
        <w:gridCol w:w="2880"/>
      </w:tblGrid>
      <w:tr>
        <w:tc>
          <w:tcPr>
            <w:tcW w:type="dxa" w:w="2880"/>
          </w:tcPr>
          <w:p>
            <w:r>
              <w:t>HTTP Code</w:t>
            </w:r>
          </w:p>
        </w:tc>
        <w:tc>
          <w:tcPr>
            <w:tcW w:type="dxa" w:w="2880"/>
          </w:tcPr>
          <w:p>
            <w:r>
              <w:t>Error Code</w:t>
            </w:r>
          </w:p>
        </w:tc>
        <w:tc>
          <w:tcPr>
            <w:tcW w:type="dxa" w:w="2880"/>
          </w:tcPr>
          <w:p>
            <w:r>
              <w:t>Description</w:t>
            </w:r>
          </w:p>
        </w:tc>
      </w:tr>
      <w:tr>
        <w:tc>
          <w:tcPr>
            <w:tcW w:type="dxa" w:w="2880"/>
          </w:tcPr>
          <w:p>
            <w:r>
              <w:t>400</w:t>
            </w:r>
          </w:p>
        </w:tc>
        <w:tc>
          <w:tcPr>
            <w:tcW w:type="dxa" w:w="2880"/>
          </w:tcPr>
          <w:p>
            <w:r>
              <w:t>ERR_INVALID_PIN</w:t>
            </w:r>
          </w:p>
        </w:tc>
        <w:tc>
          <w:tcPr>
            <w:tcW w:type="dxa" w:w="2880"/>
          </w:tcPr>
          <w:p>
            <w:r>
              <w:t>The origin or destination PIN is invalid.</w:t>
            </w:r>
          </w:p>
        </w:tc>
      </w:tr>
      <w:tr>
        <w:tc>
          <w:tcPr>
            <w:tcW w:type="dxa" w:w="2880"/>
          </w:tcPr>
          <w:p>
            <w:r>
              <w:t>401</w:t>
            </w:r>
          </w:p>
        </w:tc>
        <w:tc>
          <w:tcPr>
            <w:tcW w:type="dxa" w:w="2880"/>
          </w:tcPr>
          <w:p>
            <w:r>
              <w:t>ERR_UNAUTHORIZED</w:t>
            </w:r>
          </w:p>
        </w:tc>
        <w:tc>
          <w:tcPr>
            <w:tcW w:type="dxa" w:w="2880"/>
          </w:tcPr>
          <w:p>
            <w:r>
              <w:t>Missing or invalid Bearer token.</w:t>
            </w:r>
          </w:p>
        </w:tc>
      </w:tr>
      <w:tr>
        <w:tc>
          <w:tcPr>
            <w:tcW w:type="dxa" w:w="2880"/>
          </w:tcPr>
          <w:p>
            <w:r>
              <w:t>404</w:t>
            </w:r>
          </w:p>
        </w:tc>
        <w:tc>
          <w:tcPr>
            <w:tcW w:type="dxa" w:w="2880"/>
          </w:tcPr>
          <w:p>
            <w:r>
              <w:t>ERR_AWB_NOT_FOUND</w:t>
            </w:r>
          </w:p>
        </w:tc>
        <w:tc>
          <w:tcPr>
            <w:tcW w:type="dxa" w:w="2880"/>
          </w:tcPr>
          <w:p>
            <w:r>
              <w:t>The requested tracking number does not exist.</w:t>
            </w:r>
          </w:p>
        </w:tc>
      </w:tr>
      <w:tr>
        <w:tc>
          <w:tcPr>
            <w:tcW w:type="dxa" w:w="2880"/>
          </w:tcPr>
          <w:p>
            <w:r>
              <w:t>422</w:t>
            </w:r>
          </w:p>
        </w:tc>
        <w:tc>
          <w:tcPr>
            <w:tcW w:type="dxa" w:w="2880"/>
          </w:tcPr>
          <w:p>
            <w:r>
              <w:t>ERR_VALIDATION_FAILED</w:t>
            </w:r>
          </w:p>
        </w:tc>
        <w:tc>
          <w:tcPr>
            <w:tcW w:type="dxa" w:w="2880"/>
          </w:tcPr>
          <w:p>
            <w:r>
              <w:t>Missing required fields in the payload.</w:t>
            </w:r>
          </w:p>
        </w:tc>
      </w:tr>
      <w:tr>
        <w:tc>
          <w:tcPr>
            <w:tcW w:type="dxa" w:w="2880"/>
          </w:tcPr>
          <w:p>
            <w:r>
              <w:t>500</w:t>
            </w:r>
          </w:p>
        </w:tc>
        <w:tc>
          <w:tcPr>
            <w:tcW w:type="dxa" w:w="2880"/>
          </w:tcPr>
          <w:p>
            <w:r>
              <w:t>ERR_INTERNAL_SERVER</w:t>
            </w:r>
          </w:p>
        </w:tc>
        <w:tc>
          <w:tcPr>
            <w:tcW w:type="dxa" w:w="2880"/>
          </w:tcPr>
          <w:p>
            <w:r>
              <w:t>TPC systems are currently unavailable.</w:t>
            </w:r>
          </w:p>
        </w:tc>
      </w:tr>
    </w:tbl>
    <w:p>
      <w:pPr>
        <w:pStyle w:val="Heading1"/>
      </w:pPr>
      <w:r>
        <w:t>6. Support &amp; Contact</w:t>
      </w:r>
    </w:p>
    <w:p>
      <w:r>
        <w:t>For integration support, credential generation, or technical queries, please contact your designated account manager or reach out to the API Support Team.</w:t>
      </w:r>
    </w:p>
    <w:p>
      <w:r>
        <w:t>Email: api-support@tpcglobe.com</w:t>
        <w:br/>
        <w:t>Phone: 022-27813309 (All India Helpline)</w:t>
        <w:br/>
        <w:t>Developer Portal: https://partners.tpcglobe.com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