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344E2">
      <w:pPr>
        <w:pStyle w:val="13"/>
        <w:jc w:val="left"/>
      </w:pPr>
      <w:r>
        <w:t>2025述职大纲</w:t>
      </w:r>
    </w:p>
    <w:p w14:paraId="1E3B93DB">
      <w:pPr>
        <w:pStyle w:val="2"/>
        <w:jc w:val="left"/>
      </w:pPr>
      <w:r>
        <w:t>2026年度个人述职暨战略规划：以“产研测”协同驱动经营目标达成</w:t>
      </w:r>
    </w:p>
    <w:p w14:paraId="62337C26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b/>
          <w:bCs/>
          <w:color w:val="080F17"/>
          <w:kern w:val="0"/>
          <w:sz w:val="24"/>
          <w:szCs w:val="24"/>
          <w:lang w:val="en-US" w:eastAsia="zh-CN" w:bidi="ar"/>
        </w:rPr>
        <w:t>视觉建议：</w:t>
      </w:r>
      <w:r>
        <w:rPr>
          <w:rFonts w:ascii="宋体" w:hAnsi="宋体" w:eastAsia="宋体" w:cs="宋体"/>
          <w:color w:val="080F17"/>
          <w:kern w:val="0"/>
          <w:sz w:val="24"/>
          <w:szCs w:val="24"/>
          <w:lang w:val="en-US" w:eastAsia="zh-CN" w:bidi="ar"/>
        </w:rPr>
        <w:t xml:space="preserve"> 晟盾科技红白配色，商务简约风。 </w:t>
      </w:r>
      <w:bookmarkStart w:id="0" w:name="_GoBack"/>
      <w:bookmarkEnd w:id="0"/>
    </w:p>
    <w:p w14:paraId="66AF9D04">
      <w:pPr>
        <w:pStyle w:val="4"/>
        <w:jc w:val="left"/>
      </w:pPr>
      <w:r>
        <w:t>第1页：现状复盘 —— 认清“原型困局”，谋求落地突破</w:t>
      </w:r>
    </w:p>
    <w:p w14:paraId="764BA646">
      <w:pPr>
        <w:numPr>
          <w:ilvl w:val="0"/>
          <w:numId w:val="2"/>
        </w:numPr>
        <w:jc w:val="left"/>
      </w:pPr>
      <w:r>
        <w:rPr>
          <w:b/>
          <w:bCs/>
        </w:rPr>
        <w:t>核心内容：</w:t>
      </w:r>
    </w:p>
    <w:p w14:paraId="6AA6E625">
      <w:pPr>
        <w:numPr>
          <w:ilvl w:val="1"/>
          <w:numId w:val="2"/>
        </w:numPr>
        <w:jc w:val="left"/>
      </w:pPr>
      <w:r>
        <w:rPr>
          <w:b/>
          <w:bCs/>
        </w:rPr>
        <w:t>成绩：</w:t>
      </w:r>
      <w:r>
        <w:t xml:space="preserve"> 2025 年沉淀了大量关于政务 12345 行业的数据治理产品规划与原型思路。</w:t>
      </w:r>
    </w:p>
    <w:p w14:paraId="2DF3DB8C">
      <w:pPr>
        <w:numPr>
          <w:ilvl w:val="1"/>
          <w:numId w:val="2"/>
        </w:numPr>
        <w:jc w:val="left"/>
      </w:pPr>
      <w:r>
        <w:rPr>
          <w:b/>
          <w:bCs/>
        </w:rPr>
        <w:t>痛点：</w:t>
      </w:r>
      <w:r>
        <w:t xml:space="preserve"> 受限于研发资源碎片化挤占，大量优质规划仍停留在原型阶段，未能转化为实际产值。</w:t>
      </w:r>
    </w:p>
    <w:p w14:paraId="16699F3C">
      <w:pPr>
        <w:numPr>
          <w:ilvl w:val="1"/>
          <w:numId w:val="2"/>
        </w:numPr>
        <w:jc w:val="left"/>
      </w:pPr>
      <w:r>
        <w:rPr>
          <w:b/>
          <w:bCs/>
        </w:rPr>
        <w:t>2026核心诉求：</w:t>
      </w:r>
      <w:r>
        <w:t xml:space="preserve"> 实现从“原型设计”向“价值落地”的惊人一跳。</w:t>
      </w:r>
    </w:p>
    <w:p w14:paraId="68C6325B">
      <w:pPr>
        <w:numPr>
          <w:ilvl w:val="0"/>
          <w:numId w:val="2"/>
        </w:numPr>
        <w:jc w:val="left"/>
      </w:pPr>
      <w:r>
        <w:rPr>
          <w:b/>
          <w:bCs/>
        </w:rPr>
        <w:t>视觉建议：</w:t>
      </w:r>
      <w:r>
        <w:t xml:space="preserve"> 漏斗图。上方是众多的原型思路，下方是较窄的落地出口，强调“资源瓶颈”。</w:t>
      </w:r>
    </w:p>
    <w:p w14:paraId="7351BE7B">
      <w:pPr>
        <w:pStyle w:val="4"/>
        <w:jc w:val="left"/>
      </w:pPr>
      <w:r>
        <w:t>第2页：角色转型承诺 —— 从技术协同到价值支撑</w:t>
      </w:r>
    </w:p>
    <w:p w14:paraId="5C8286C0">
      <w:pPr>
        <w:numPr>
          <w:ilvl w:val="0"/>
          <w:numId w:val="2"/>
        </w:numPr>
        <w:jc w:val="left"/>
      </w:pPr>
      <w:r>
        <w:rPr>
          <w:b/>
          <w:bCs/>
        </w:rPr>
        <w:t>转型目标：</w:t>
      </w:r>
    </w:p>
    <w:p w14:paraId="2A814DF5">
      <w:pPr>
        <w:numPr>
          <w:ilvl w:val="1"/>
          <w:numId w:val="2"/>
        </w:numPr>
        <w:jc w:val="left"/>
      </w:pPr>
      <w:r>
        <w:rPr>
          <w:b/>
          <w:bCs/>
        </w:rPr>
        <w:t>维度一：产品设计转型</w:t>
      </w:r>
      <w:r>
        <w:t xml:space="preserve"> —— 从“功能堆砌”转向“价值产出”与“市场溢价”。</w:t>
      </w:r>
    </w:p>
    <w:p w14:paraId="697524C7">
      <w:pPr>
        <w:numPr>
          <w:ilvl w:val="1"/>
          <w:numId w:val="2"/>
        </w:numPr>
        <w:jc w:val="left"/>
      </w:pPr>
      <w:r>
        <w:rPr>
          <w:b/>
          <w:bCs/>
        </w:rPr>
        <w:t>维度二：研发管理转型</w:t>
      </w:r>
      <w:r>
        <w:t xml:space="preserve"> —— 从“Bug 数量”关注转向“验收通过率”关注。</w:t>
      </w:r>
    </w:p>
    <w:p w14:paraId="0A8C9522">
      <w:pPr>
        <w:numPr>
          <w:ilvl w:val="0"/>
          <w:numId w:val="2"/>
        </w:numPr>
        <w:jc w:val="left"/>
      </w:pPr>
      <w:r>
        <w:rPr>
          <w:b/>
          <w:bCs/>
        </w:rPr>
        <w:t>视觉建议：</w:t>
      </w:r>
      <w:r>
        <w:t xml:space="preserve"> 左右对比图。左侧为“旧标签：被动响应、功能导向”；右侧为“新标签：主动赋能、价值导向”。</w:t>
      </w:r>
    </w:p>
    <w:p w14:paraId="2D3803A3">
      <w:pPr>
        <w:pStyle w:val="4"/>
        <w:jc w:val="left"/>
      </w:pPr>
      <w:r>
        <w:t>第3页：三项赋能承诺 —— 驱动经营目标达成</w:t>
      </w:r>
    </w:p>
    <w:p w14:paraId="2ED6A89F">
      <w:pPr>
        <w:numPr>
          <w:ilvl w:val="0"/>
          <w:numId w:val="2"/>
        </w:numPr>
        <w:jc w:val="left"/>
      </w:pPr>
      <w:r>
        <w:rPr>
          <w:b/>
          <w:bCs/>
        </w:rPr>
        <w:t>创新赋能：</w:t>
      </w:r>
      <w:r>
        <w:t xml:space="preserve"> 落地政务 12345 数据治理赛道，构建五大核心数据产品护城河。</w:t>
      </w:r>
    </w:p>
    <w:p w14:paraId="7193D871">
      <w:pPr>
        <w:numPr>
          <w:ilvl w:val="0"/>
          <w:numId w:val="2"/>
        </w:numPr>
        <w:jc w:val="left"/>
      </w:pPr>
      <w:r>
        <w:rPr>
          <w:b/>
          <w:bCs/>
        </w:rPr>
        <w:t>专业赋能：</w:t>
      </w:r>
      <w:r>
        <w:t xml:space="preserve"> 打造政务 12345 行业专家 IP，建立行业话语权，引导客户预期。</w:t>
      </w:r>
    </w:p>
    <w:p w14:paraId="0A04EFC5">
      <w:pPr>
        <w:numPr>
          <w:ilvl w:val="0"/>
          <w:numId w:val="2"/>
        </w:numPr>
        <w:jc w:val="left"/>
      </w:pPr>
      <w:r>
        <w:rPr>
          <w:b/>
          <w:bCs/>
        </w:rPr>
        <w:t>效能赋能：</w:t>
      </w:r>
      <w:r>
        <w:t xml:space="preserve"> 强化交付确定性，建立质量红线，通过提效释放产值。</w:t>
      </w:r>
    </w:p>
    <w:p w14:paraId="74832E8E">
      <w:pPr>
        <w:numPr>
          <w:ilvl w:val="0"/>
          <w:numId w:val="2"/>
        </w:numPr>
        <w:jc w:val="left"/>
      </w:pPr>
      <w:r>
        <w:rPr>
          <w:b/>
          <w:bCs/>
        </w:rPr>
        <w:t>视觉建议：</w:t>
      </w:r>
      <w:r>
        <w:t xml:space="preserve"> 采用“三角支撑”模型图，展示三个赋能点如何共同指向中心经营目标。</w:t>
      </w:r>
    </w:p>
    <w:p w14:paraId="027501A5">
      <w:pPr>
        <w:pStyle w:val="4"/>
        <w:jc w:val="left"/>
      </w:pPr>
      <w:r>
        <w:t>第4页：核心指标看板 —— 支撑 2500W/2800W/3100W 目标</w:t>
      </w:r>
    </w:p>
    <w:p w14:paraId="230AC1E7">
      <w:pPr>
        <w:numPr>
          <w:ilvl w:val="0"/>
          <w:numId w:val="2"/>
        </w:numPr>
        <w:jc w:val="left"/>
      </w:pPr>
      <w:r>
        <w:rPr>
          <w:b/>
          <w:bCs/>
        </w:rPr>
        <w:t>核心维度及指标：</w:t>
      </w:r>
    </w:p>
    <w:p w14:paraId="271FF68A">
      <w:pPr>
        <w:numPr>
          <w:ilvl w:val="1"/>
          <w:numId w:val="3"/>
        </w:numPr>
        <w:jc w:val="left"/>
      </w:pPr>
      <w:r>
        <w:rPr>
          <w:b/>
          <w:bCs/>
        </w:rPr>
        <w:t>产值支撑 (2500W)：</w:t>
      </w:r>
      <w:r>
        <w:t xml:space="preserve"> 全员 AI 提效，PM 及测试人效提升 30% 以上。</w:t>
      </w:r>
    </w:p>
    <w:p w14:paraId="4956ED70">
      <w:pPr>
        <w:numPr>
          <w:ilvl w:val="1"/>
          <w:numId w:val="3"/>
        </w:numPr>
        <w:jc w:val="left"/>
      </w:pPr>
      <w:r>
        <w:rPr>
          <w:b/>
          <w:bCs/>
        </w:rPr>
        <w:t>合同支撑 (2800W)：</w:t>
      </w:r>
      <w:r>
        <w:t xml:space="preserve"> 完成 5 大产品落地开发；每月输出 2 篇软文+1 条视频。</w:t>
      </w:r>
    </w:p>
    <w:p w14:paraId="16934389">
      <w:pPr>
        <w:numPr>
          <w:ilvl w:val="1"/>
          <w:numId w:val="3"/>
        </w:numPr>
        <w:jc w:val="left"/>
      </w:pPr>
      <w:r>
        <w:rPr>
          <w:b/>
          <w:bCs/>
        </w:rPr>
        <w:t>回款支撑 (3100W)：</w:t>
      </w:r>
      <w:r>
        <w:t xml:space="preserve"> 建立缺陷成本核算模型，缺陷修复工时（BUG工时）压降 30%。</w:t>
      </w:r>
    </w:p>
    <w:p w14:paraId="7FE3CAE2">
      <w:pPr>
        <w:numPr>
          <w:ilvl w:val="0"/>
          <w:numId w:val="2"/>
        </w:numPr>
        <w:jc w:val="left"/>
      </w:pPr>
      <w:r>
        <w:rPr>
          <w:b/>
          <w:bCs/>
        </w:rPr>
        <w:t>视觉建议：</w:t>
      </w:r>
      <w:r>
        <w:t xml:space="preserve"> 三个仪表盘/磁贴，左侧为财务指标，右侧为对应的研发/产品核心 KR。</w:t>
      </w:r>
    </w:p>
    <w:p w14:paraId="24A075E3">
      <w:pPr>
        <w:pStyle w:val="4"/>
        <w:jc w:val="left"/>
      </w:pPr>
      <w:r>
        <w:t>第5页：举措一：政务12345专家 IP 建设 —— 引导客户预期</w:t>
      </w:r>
    </w:p>
    <w:p w14:paraId="700329AC">
      <w:pPr>
        <w:numPr>
          <w:ilvl w:val="0"/>
          <w:numId w:val="2"/>
        </w:numPr>
        <w:jc w:val="left"/>
      </w:pPr>
      <w:r>
        <w:rPr>
          <w:b/>
          <w:bCs/>
        </w:rPr>
        <w:t>具体动作：</w:t>
      </w:r>
      <w:r>
        <w:t xml:space="preserve"> 围绕行业治理逻辑，利用朋友圈、视频号等渠道输出软文、视频及专业观点。</w:t>
      </w:r>
    </w:p>
    <w:p w14:paraId="023E2299">
      <w:pPr>
        <w:numPr>
          <w:ilvl w:val="0"/>
          <w:numId w:val="2"/>
        </w:numPr>
        <w:jc w:val="left"/>
      </w:pPr>
      <w:r>
        <w:rPr>
          <w:b/>
          <w:bCs/>
        </w:rPr>
        <w:t>内容沉淀：</w:t>
      </w:r>
    </w:p>
    <w:p w14:paraId="1E18644F">
      <w:pPr>
        <w:numPr>
          <w:ilvl w:val="1"/>
          <w:numId w:val="2"/>
        </w:numPr>
        <w:jc w:val="left"/>
      </w:pPr>
      <w:r>
        <w:t>政策解读、场景痛点剖析文章（文字类）。</w:t>
      </w:r>
    </w:p>
    <w:p w14:paraId="5E63E38F">
      <w:pPr>
        <w:numPr>
          <w:ilvl w:val="1"/>
          <w:numId w:val="2"/>
        </w:numPr>
        <w:jc w:val="left"/>
      </w:pPr>
      <w:r>
        <w:t>场景治理科普、产品亮点演示视频（视频类）。</w:t>
      </w:r>
    </w:p>
    <w:p w14:paraId="3EFDFD83">
      <w:pPr>
        <w:numPr>
          <w:ilvl w:val="1"/>
          <w:numId w:val="2"/>
        </w:numPr>
        <w:jc w:val="left"/>
      </w:pPr>
      <w:r>
        <w:t>AI 提效前后对比案例库（案例类）。</w:t>
      </w:r>
    </w:p>
    <w:p w14:paraId="5746DDAC">
      <w:pPr>
        <w:numPr>
          <w:ilvl w:val="0"/>
          <w:numId w:val="2"/>
        </w:numPr>
        <w:jc w:val="left"/>
      </w:pPr>
      <w:r>
        <w:rPr>
          <w:b/>
          <w:bCs/>
        </w:rPr>
        <w:t>目标：</w:t>
      </w:r>
      <w:r>
        <w:t xml:space="preserve"> 让客户认可我们的行业治理理念，从而有效降低非标需求边界，保障合同标准化。</w:t>
      </w:r>
    </w:p>
    <w:p w14:paraId="0627662C">
      <w:pPr>
        <w:pStyle w:val="4"/>
        <w:jc w:val="left"/>
      </w:pPr>
      <w:r>
        <w:t>第6页：举措二：全量项目质量红线 —— 保障交付确定性</w:t>
      </w:r>
    </w:p>
    <w:p w14:paraId="7545330A">
      <w:pPr>
        <w:numPr>
          <w:ilvl w:val="0"/>
          <w:numId w:val="2"/>
        </w:numPr>
        <w:jc w:val="left"/>
      </w:pPr>
      <w:r>
        <w:rPr>
          <w:b/>
          <w:bCs/>
        </w:rPr>
        <w:t>具体动作：</w:t>
      </w:r>
      <w:r>
        <w:t xml:space="preserve"> 建立关键链路自检红线，不通过严禁交付；推行“缺陷成本核算模型”。</w:t>
      </w:r>
    </w:p>
    <w:p w14:paraId="7E027F13">
      <w:pPr>
        <w:numPr>
          <w:ilvl w:val="0"/>
          <w:numId w:val="2"/>
        </w:numPr>
        <w:jc w:val="left"/>
      </w:pPr>
      <w:r>
        <w:rPr>
          <w:b/>
          <w:bCs/>
        </w:rPr>
        <w:t>核算逻辑：</w:t>
      </w:r>
    </w:p>
    <w:p w14:paraId="55A03913">
      <w:pPr>
        <w:numPr>
          <w:ilvl w:val="1"/>
          <w:numId w:val="2"/>
        </w:numPr>
        <w:jc w:val="left"/>
      </w:pPr>
      <w:r>
        <w:rPr>
          <w:b/>
          <w:bCs/>
        </w:rPr>
        <w:t>直接损耗：</w:t>
      </w:r>
      <w:r>
        <w:t xml:space="preserve"> 统计每月“缺陷修复工时 × 研发平均时薪”。</w:t>
      </w:r>
    </w:p>
    <w:p w14:paraId="6E4E5CF3">
      <w:pPr>
        <w:numPr>
          <w:ilvl w:val="1"/>
          <w:numId w:val="2"/>
        </w:numPr>
        <w:jc w:val="left"/>
      </w:pPr>
      <w:r>
        <w:rPr>
          <w:b/>
          <w:bCs/>
        </w:rPr>
        <w:t>间接成本：</w:t>
      </w:r>
      <w:r>
        <w:t xml:space="preserve"> 评估“延期验收天数 × 资金占用利息”。</w:t>
      </w:r>
    </w:p>
    <w:p w14:paraId="58B740B3">
      <w:pPr>
        <w:numPr>
          <w:ilvl w:val="0"/>
          <w:numId w:val="2"/>
        </w:numPr>
        <w:jc w:val="left"/>
      </w:pPr>
      <w:r>
        <w:rPr>
          <w:b/>
          <w:bCs/>
        </w:rPr>
        <w:t>目标：</w:t>
      </w:r>
      <w:r>
        <w:t xml:space="preserve"> 变“技术整改”为“财务保障”，压降 20% 无效工时，加速回款。</w:t>
      </w:r>
    </w:p>
    <w:p w14:paraId="538186CA">
      <w:pPr>
        <w:pStyle w:val="4"/>
        <w:jc w:val="left"/>
      </w:pPr>
      <w:r>
        <w:t>第7页：举措三：核心数据产品矩阵研发落地</w:t>
      </w:r>
    </w:p>
    <w:p w14:paraId="2DA131C3">
      <w:pPr>
        <w:numPr>
          <w:ilvl w:val="0"/>
          <w:numId w:val="2"/>
        </w:numPr>
        <w:jc w:val="left"/>
      </w:pPr>
      <w:r>
        <w:rPr>
          <w:b/>
          <w:bCs/>
        </w:rPr>
        <w:t>交付节奏：</w:t>
      </w:r>
    </w:p>
    <w:p w14:paraId="6FA6A4CA">
      <w:pPr>
        <w:numPr>
          <w:ilvl w:val="1"/>
          <w:numId w:val="2"/>
        </w:numPr>
        <w:jc w:val="left"/>
      </w:pPr>
      <w:r>
        <w:rPr>
          <w:b/>
          <w:bCs/>
        </w:rPr>
        <w:t>上半年：</w:t>
      </w:r>
      <w:r>
        <w:t xml:space="preserve"> 交付指挥大屏、职场中屏初代版本。</w:t>
      </w:r>
    </w:p>
    <w:p w14:paraId="595261F5">
      <w:pPr>
        <w:numPr>
          <w:ilvl w:val="1"/>
          <w:numId w:val="2"/>
        </w:numPr>
        <w:jc w:val="left"/>
      </w:pPr>
      <w:r>
        <w:rPr>
          <w:b/>
          <w:bCs/>
        </w:rPr>
        <w:t>下半年：</w:t>
      </w:r>
      <w:r>
        <w:t xml:space="preserve"> 交付数据治理平台、桌面监管屏版本。</w:t>
      </w:r>
    </w:p>
    <w:p w14:paraId="4F41F9E8">
      <w:pPr>
        <w:numPr>
          <w:ilvl w:val="1"/>
          <w:numId w:val="2"/>
        </w:numPr>
        <w:jc w:val="left"/>
      </w:pPr>
      <w:r>
        <w:rPr>
          <w:b/>
          <w:bCs/>
        </w:rPr>
        <w:t>全年：</w:t>
      </w:r>
      <w:r>
        <w:t xml:space="preserve"> 持续迭代智能报告，形成闭环产品护城河。</w:t>
      </w:r>
    </w:p>
    <w:p w14:paraId="6E568032">
      <w:pPr>
        <w:numPr>
          <w:ilvl w:val="0"/>
          <w:numId w:val="2"/>
        </w:numPr>
        <w:jc w:val="left"/>
      </w:pPr>
      <w:r>
        <w:rPr>
          <w:b/>
          <w:bCs/>
        </w:rPr>
        <w:t>视觉建议：</w:t>
      </w:r>
      <w:r>
        <w:t xml:space="preserve"> 时间轴/路线图。展示原型向成品转化的关键节点。</w:t>
      </w:r>
    </w:p>
    <w:p w14:paraId="5F486DD2">
      <w:pPr>
        <w:pStyle w:val="4"/>
        <w:jc w:val="left"/>
      </w:pPr>
      <w:r>
        <w:t>第8页：举措四：全员 AI 提效 —— 跨部门赋能产出</w:t>
      </w:r>
    </w:p>
    <w:p w14:paraId="1BCE1B4C">
      <w:pPr>
        <w:numPr>
          <w:ilvl w:val="0"/>
          <w:numId w:val="2"/>
        </w:numPr>
        <w:jc w:val="left"/>
      </w:pPr>
      <w:r>
        <w:rPr>
          <w:b/>
          <w:bCs/>
        </w:rPr>
        <w:t>具体动作：</w:t>
      </w:r>
    </w:p>
    <w:p w14:paraId="63C5575F">
      <w:pPr>
        <w:numPr>
          <w:ilvl w:val="1"/>
          <w:numId w:val="4"/>
        </w:numPr>
        <w:jc w:val="left"/>
      </w:pPr>
      <w:r>
        <w:t>产研端：AI 辅助 PRD 编写、原型设计及测试用例自动生成。</w:t>
      </w:r>
    </w:p>
    <w:p w14:paraId="18730985">
      <w:pPr>
        <w:numPr>
          <w:ilvl w:val="1"/>
          <w:numId w:val="4"/>
        </w:numPr>
        <w:jc w:val="left"/>
      </w:pPr>
      <w:r>
        <w:t>职能端：主动对接行政、财务调研，提供报表核算、公文草拟等 AI 赋能方案。</w:t>
      </w:r>
    </w:p>
    <w:p w14:paraId="72B15BFC">
      <w:pPr>
        <w:numPr>
          <w:ilvl w:val="0"/>
          <w:numId w:val="2"/>
        </w:numPr>
        <w:jc w:val="left"/>
      </w:pPr>
      <w:r>
        <w:rPr>
          <w:b/>
          <w:bCs/>
        </w:rPr>
        <w:t>目标：</w:t>
      </w:r>
      <w:r>
        <w:t xml:space="preserve"> Q1 内部培训与推广，Q2 外部调研，Q3 外部落地，释放核心业务精力。</w:t>
      </w:r>
    </w:p>
    <w:p w14:paraId="395184EB">
      <w:pPr>
        <w:numPr>
          <w:ilvl w:val="0"/>
          <w:numId w:val="2"/>
        </w:numPr>
        <w:jc w:val="left"/>
      </w:pPr>
      <w:r>
        <w:rPr>
          <w:b/>
          <w:bCs/>
        </w:rPr>
        <w:t>时限 (T)：</w:t>
      </w:r>
      <w:r>
        <w:t xml:space="preserve"> Q1 内部培训与推广，Q2 进行跨部门调研，Q3 实现方案落地。</w:t>
      </w:r>
    </w:p>
    <w:p w14:paraId="3BA5C5FC">
      <w:pPr>
        <w:pStyle w:val="4"/>
        <w:jc w:val="left"/>
      </w:pPr>
      <w:r>
        <w:t>第9页：管理建议：建议建立“交付与产品”双轨资源保障机制</w:t>
      </w:r>
    </w:p>
    <w:p w14:paraId="6F28EBCB">
      <w:pPr>
        <w:numPr>
          <w:ilvl w:val="0"/>
          <w:numId w:val="2"/>
        </w:numPr>
        <w:jc w:val="left"/>
      </w:pPr>
      <w:r>
        <w:rPr>
          <w:b/>
          <w:bCs/>
        </w:rPr>
        <w:t>痛点反馈：</w:t>
      </w:r>
      <w:r>
        <w:t xml:space="preserve"> 2025 年研发资源被碎化项目完全挤占，导致大量规划思路仅停留在原型阶段。</w:t>
      </w:r>
    </w:p>
    <w:p w14:paraId="69688E40">
      <w:pPr>
        <w:numPr>
          <w:ilvl w:val="0"/>
          <w:numId w:val="2"/>
        </w:numPr>
        <w:jc w:val="left"/>
      </w:pPr>
      <w:r>
        <w:rPr>
          <w:b/>
          <w:bCs/>
        </w:rPr>
        <w:t>具体建议：</w:t>
      </w:r>
      <w:r>
        <w:t xml:space="preserve"> 在优先保障交付质量的前提下，通过优化排期弹性预留 20% 工时用于核心产品演进，确保原型向落地的稳步转化。</w:t>
      </w:r>
    </w:p>
    <w:p w14:paraId="698CEB58">
      <w:pPr>
        <w:pStyle w:val="4"/>
        <w:jc w:val="left"/>
      </w:pPr>
      <w:r>
        <w:t>第10页：资源诉求：专家 IP 打造的“战略定力”支持</w:t>
      </w:r>
    </w:p>
    <w:p w14:paraId="4D956904">
      <w:pPr>
        <w:numPr>
          <w:ilvl w:val="0"/>
          <w:numId w:val="2"/>
        </w:numPr>
        <w:jc w:val="left"/>
      </w:pPr>
      <w:r>
        <w:rPr>
          <w:b/>
          <w:bCs/>
        </w:rPr>
        <w:t>现状说明：</w:t>
      </w:r>
      <w:r>
        <w:t xml:space="preserve"> IP 建设属于慢热型投入，短期反馈不明显。</w:t>
      </w:r>
    </w:p>
    <w:p w14:paraId="3473178C">
      <w:pPr>
        <w:numPr>
          <w:ilvl w:val="0"/>
          <w:numId w:val="2"/>
        </w:numPr>
        <w:jc w:val="left"/>
      </w:pPr>
      <w:r>
        <w:rPr>
          <w:b/>
          <w:bCs/>
        </w:rPr>
        <w:t>诉求：</w:t>
      </w:r>
    </w:p>
    <w:p w14:paraId="2717FEBF">
      <w:pPr>
        <w:numPr>
          <w:ilvl w:val="1"/>
          <w:numId w:val="2"/>
        </w:numPr>
        <w:jc w:val="left"/>
      </w:pPr>
      <w:r>
        <w:rPr>
          <w:b/>
          <w:bCs/>
        </w:rPr>
        <w:t>耐心：</w:t>
      </w:r>
      <w:r>
        <w:t xml:space="preserve"> 给予 1-2 个季度的耐心孵化期。</w:t>
      </w:r>
    </w:p>
    <w:p w14:paraId="358DC0B1">
      <w:pPr>
        <w:numPr>
          <w:ilvl w:val="1"/>
          <w:numId w:val="2"/>
        </w:numPr>
        <w:jc w:val="left"/>
      </w:pPr>
      <w:r>
        <w:rPr>
          <w:b/>
          <w:bCs/>
        </w:rPr>
        <w:t>工具：</w:t>
      </w:r>
      <w:r>
        <w:t xml:space="preserve"> 允许引入低成本 AI 剪辑/配音工具。</w:t>
      </w:r>
    </w:p>
    <w:p w14:paraId="10AB26AD">
      <w:pPr>
        <w:numPr>
          <w:ilvl w:val="1"/>
          <w:numId w:val="2"/>
        </w:numPr>
        <w:jc w:val="left"/>
      </w:pPr>
      <w:r>
        <w:rPr>
          <w:b/>
          <w:bCs/>
        </w:rPr>
        <w:t>人才：</w:t>
      </w:r>
      <w:r>
        <w:t xml:space="preserve"> 适时补充具备内容策划或视频处理能力的专业协助。</w:t>
      </w:r>
    </w:p>
    <w:p w14:paraId="649A3357">
      <w:pPr>
        <w:numPr>
          <w:ilvl w:val="0"/>
          <w:numId w:val="2"/>
        </w:num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egoe UI Emoji">
    <w:altName w:val="Apple Color Emoj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8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F6B0C"/>
    <w:rsid w:val="FF7719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qFormat/>
    <w:uiPriority w:val="0"/>
    <w:rPr>
      <w:color w:val="0A6CFF"/>
      <w:u w:val="single" w:color="0A6CFF"/>
    </w:rPr>
  </w:style>
  <w:style w:type="paragraph" w:customStyle="1" w:styleId="13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4">
    <w:name w:val="DateTime"/>
    <w:qFormat/>
    <w:uiPriority w:val="0"/>
    <w:rPr>
      <w:color w:val="0A6CFF"/>
    </w:rPr>
  </w:style>
  <w:style w:type="paragraph" w:customStyle="1" w:styleId="15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6">
    <w:name w:val="Code"/>
    <w:qFormat/>
    <w:uiPriority w:val="0"/>
    <w:rPr>
      <w:bdr w:val="single" w:color="E2E6ED" w:sz="6" w:space="0"/>
    </w:rPr>
  </w:style>
  <w:style w:type="character" w:customStyle="1" w:styleId="17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8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9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0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1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2026-01-28T07:14:00Z</dcterms:created>
  <dc:creator>webotl</dc:creator>
  <cp:lastModifiedBy>郭敬文</cp:lastModifiedBy>
  <dcterms:modified xsi:type="dcterms:W3CDTF">2026-01-27T15:18:27Z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2052-12.1.24031.24031</vt:lpwstr>
  </property>
  <property fmtid="{D5CDD505-2E9C-101B-9397-08002B2CF9AE}" pid="4" name="ICV">
    <vt:lpwstr>79273E04960BC32D4666786924FF5E9B_42</vt:lpwstr>
  </property>
</Properties>
</file>