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B10A" w14:textId="12A336F3" w:rsidR="000109E4" w:rsidRDefault="00E66F69" w:rsidP="007D5742">
      <w:pPr>
        <w:spacing w:before="120" w:after="120" w:line="276" w:lineRule="auto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4"/>
          <w:szCs w:val="44"/>
        </w:rPr>
        <w:t xml:space="preserve">Testing </w:t>
      </w:r>
      <w:r w:rsidR="00A212AE">
        <w:rPr>
          <w:rFonts w:asciiTheme="majorHAnsi" w:hAnsiTheme="majorHAnsi" w:cstheme="majorHAnsi"/>
          <w:sz w:val="44"/>
          <w:szCs w:val="44"/>
        </w:rPr>
        <w:t xml:space="preserve">the </w:t>
      </w:r>
      <w:r w:rsidR="003B30D0">
        <w:rPr>
          <w:rFonts w:asciiTheme="majorHAnsi" w:hAnsiTheme="majorHAnsi" w:cstheme="majorHAnsi"/>
          <w:sz w:val="44"/>
          <w:szCs w:val="44"/>
        </w:rPr>
        <w:t>Front Panel</w:t>
      </w:r>
      <w:r w:rsidR="00AA3DB7">
        <w:rPr>
          <w:rFonts w:asciiTheme="majorHAnsi" w:hAnsiTheme="majorHAnsi" w:cstheme="majorHAnsi"/>
          <w:sz w:val="44"/>
          <w:szCs w:val="44"/>
        </w:rPr>
        <w:t xml:space="preserve"> Board</w:t>
      </w:r>
    </w:p>
    <w:p w14:paraId="3218FDA0" w14:textId="3021FA7F" w:rsidR="00F47DF3" w:rsidRDefault="00081FBF" w:rsidP="007D5742">
      <w:pPr>
        <w:spacing w:before="120" w:after="120" w:line="276" w:lineRule="auto"/>
        <w:jc w:val="center"/>
        <w:rPr>
          <w:rFonts w:asciiTheme="majorHAnsi" w:hAnsiTheme="majorHAnsi" w:cstheme="majorHAnsi"/>
        </w:rPr>
      </w:pPr>
      <w:r w:rsidRPr="0059608E">
        <w:rPr>
          <w:rFonts w:asciiTheme="majorHAnsi" w:hAnsiTheme="majorHAnsi" w:cstheme="majorHAnsi"/>
        </w:rPr>
        <w:t>Servicing a SuperDARN Transceiver</w:t>
      </w:r>
      <w:r w:rsidR="000109E4">
        <w:rPr>
          <w:rFonts w:asciiTheme="majorHAnsi" w:hAnsiTheme="majorHAnsi" w:cstheme="majorHAnsi"/>
        </w:rPr>
        <w:br/>
      </w:r>
      <w:r w:rsidR="00A212AE">
        <w:rPr>
          <w:rFonts w:asciiTheme="majorHAnsi" w:hAnsiTheme="majorHAnsi" w:cstheme="majorHAnsi"/>
        </w:rPr>
        <w:t xml:space="preserve">Step </w:t>
      </w:r>
      <w:r w:rsidR="003B30D0">
        <w:rPr>
          <w:rFonts w:asciiTheme="majorHAnsi" w:hAnsiTheme="majorHAnsi" w:cstheme="majorHAnsi"/>
        </w:rPr>
        <w:t>5</w:t>
      </w:r>
    </w:p>
    <w:p w14:paraId="052810D1" w14:textId="77777777" w:rsidR="00F47DF3" w:rsidRDefault="00F47DF3" w:rsidP="007D5742">
      <w:p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051229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8E1A8" w14:textId="1A6EEFF9" w:rsidR="000607E7" w:rsidRPr="00FF0B23" w:rsidRDefault="000607E7" w:rsidP="007D5742">
          <w:pPr>
            <w:pStyle w:val="TOC-opskrif"/>
            <w:spacing w:before="120" w:after="120" w:line="276" w:lineRule="auto"/>
            <w:jc w:val="both"/>
            <w:rPr>
              <w:rFonts w:cstheme="majorHAnsi"/>
            </w:rPr>
          </w:pPr>
          <w:r w:rsidRPr="00FF0B23">
            <w:rPr>
              <w:rFonts w:cstheme="majorHAnsi"/>
            </w:rPr>
            <w:t>Content</w:t>
          </w:r>
        </w:p>
        <w:p w14:paraId="174A741F" w14:textId="22E2BF9D" w:rsidR="0016195D" w:rsidRDefault="000607E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ZA"/>
            </w:rPr>
          </w:pPr>
          <w:r w:rsidRPr="00FF0B23">
            <w:rPr>
              <w:rFonts w:cstheme="minorHAnsi"/>
            </w:rPr>
            <w:fldChar w:fldCharType="begin"/>
          </w:r>
          <w:r w:rsidRPr="00FF0B23">
            <w:rPr>
              <w:rFonts w:cstheme="minorHAnsi"/>
            </w:rPr>
            <w:instrText xml:space="preserve"> TOC \o "1-3" \h \z \u </w:instrText>
          </w:r>
          <w:r w:rsidRPr="00FF0B23">
            <w:rPr>
              <w:rFonts w:cstheme="minorHAnsi"/>
            </w:rPr>
            <w:fldChar w:fldCharType="separate"/>
          </w:r>
          <w:hyperlink w:anchor="_Toc95809777" w:history="1">
            <w:r w:rsidR="0016195D" w:rsidRPr="00194A19">
              <w:rPr>
                <w:rStyle w:val="Hiperskakel"/>
                <w:rFonts w:cstheme="majorHAnsi"/>
                <w:noProof/>
              </w:rPr>
              <w:t>1.</w:t>
            </w:r>
            <w:r w:rsidR="0016195D">
              <w:rPr>
                <w:rFonts w:eastAsiaTheme="minorEastAsia"/>
                <w:noProof/>
                <w:lang w:eastAsia="en-ZA"/>
              </w:rPr>
              <w:tab/>
            </w:r>
            <w:r w:rsidR="0016195D" w:rsidRPr="00194A19">
              <w:rPr>
                <w:rStyle w:val="Hiperskakel"/>
                <w:rFonts w:cstheme="majorHAnsi"/>
                <w:noProof/>
              </w:rPr>
              <w:t>Introduction</w:t>
            </w:r>
            <w:r w:rsidR="0016195D">
              <w:rPr>
                <w:noProof/>
                <w:webHidden/>
              </w:rPr>
              <w:tab/>
            </w:r>
            <w:r w:rsidR="0016195D">
              <w:rPr>
                <w:noProof/>
                <w:webHidden/>
              </w:rPr>
              <w:fldChar w:fldCharType="begin"/>
            </w:r>
            <w:r w:rsidR="0016195D">
              <w:rPr>
                <w:noProof/>
                <w:webHidden/>
              </w:rPr>
              <w:instrText xml:space="preserve"> PAGEREF _Toc95809777 \h </w:instrText>
            </w:r>
            <w:r w:rsidR="0016195D">
              <w:rPr>
                <w:noProof/>
                <w:webHidden/>
              </w:rPr>
            </w:r>
            <w:r w:rsidR="0016195D">
              <w:rPr>
                <w:noProof/>
                <w:webHidden/>
              </w:rPr>
              <w:fldChar w:fldCharType="separate"/>
            </w:r>
            <w:r w:rsidR="0016195D">
              <w:rPr>
                <w:noProof/>
                <w:webHidden/>
              </w:rPr>
              <w:t>3</w:t>
            </w:r>
            <w:r w:rsidR="0016195D">
              <w:rPr>
                <w:noProof/>
                <w:webHidden/>
              </w:rPr>
              <w:fldChar w:fldCharType="end"/>
            </w:r>
          </w:hyperlink>
        </w:p>
        <w:p w14:paraId="1E55965E" w14:textId="01CAE216" w:rsidR="0016195D" w:rsidRDefault="0016195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ZA"/>
            </w:rPr>
          </w:pPr>
          <w:hyperlink w:anchor="_Toc95809778" w:history="1">
            <w:r w:rsidRPr="00194A19">
              <w:rPr>
                <w:rStyle w:val="Hiperskakel"/>
                <w:rFonts w:eastAsia="LMSans12-Regular-Identity-H" w:cstheme="majorHAnsi"/>
                <w:noProof/>
              </w:rPr>
              <w:t>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194A19">
              <w:rPr>
                <w:rStyle w:val="Hiperskakel"/>
                <w:rFonts w:eastAsia="LMSans12-Regular-Identity-H" w:cstheme="majorHAnsi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441A" w14:textId="62CF7F5C" w:rsidR="0016195D" w:rsidRDefault="0016195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ZA"/>
            </w:rPr>
          </w:pPr>
          <w:hyperlink w:anchor="_Toc95809779" w:history="1">
            <w:r w:rsidRPr="00194A19">
              <w:rPr>
                <w:rStyle w:val="Hiperskakel"/>
                <w:rFonts w:cstheme="majorHAnsi"/>
                <w:noProof/>
              </w:rPr>
              <w:t>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194A19">
              <w:rPr>
                <w:rStyle w:val="Hiperskakel"/>
                <w:rFonts w:cstheme="majorHAns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E2E3" w14:textId="581F7CE0" w:rsidR="000607E7" w:rsidRPr="00FF0B23" w:rsidRDefault="000607E7" w:rsidP="007D5742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jc w:val="both"/>
            <w:rPr>
              <w:rFonts w:cstheme="minorHAnsi"/>
            </w:rPr>
          </w:pPr>
          <w:r w:rsidRPr="00FF0B23">
            <w:rPr>
              <w:rFonts w:cstheme="minorHAnsi"/>
              <w:b/>
              <w:bCs/>
            </w:rPr>
            <w:fldChar w:fldCharType="end"/>
          </w:r>
        </w:p>
      </w:sdtContent>
    </w:sdt>
    <w:p w14:paraId="5A839679" w14:textId="77777777" w:rsidR="000B4CD2" w:rsidRPr="00FF0B23" w:rsidRDefault="000B4CD2" w:rsidP="007D5742">
      <w:pPr>
        <w:spacing w:before="120" w:after="120" w:line="276" w:lineRule="auto"/>
        <w:jc w:val="both"/>
        <w:rPr>
          <w:rFonts w:eastAsiaTheme="majorEastAsia" w:cstheme="minorHAnsi"/>
          <w:color w:val="2F5496" w:themeColor="accent1" w:themeShade="BF"/>
        </w:rPr>
      </w:pPr>
      <w:r w:rsidRPr="00FF0B23">
        <w:rPr>
          <w:rFonts w:cstheme="minorHAnsi"/>
        </w:rPr>
        <w:br w:type="page"/>
      </w:r>
    </w:p>
    <w:p w14:paraId="33826172" w14:textId="5D42F8C9" w:rsidR="000B4CD2" w:rsidRPr="00FF0B23" w:rsidRDefault="00337FF9" w:rsidP="007D5742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0" w:name="_Toc95809777"/>
      <w:r w:rsidRPr="00FF0B23">
        <w:rPr>
          <w:rFonts w:cstheme="majorHAnsi"/>
        </w:rPr>
        <w:lastRenderedPageBreak/>
        <w:t>Introduction</w:t>
      </w:r>
      <w:bookmarkEnd w:id="0"/>
    </w:p>
    <w:p w14:paraId="61977292" w14:textId="6741D02E" w:rsidR="000B4CD2" w:rsidRPr="00FF0B23" w:rsidRDefault="00E66F69" w:rsidP="007D5742">
      <w:pPr>
        <w:spacing w:before="120" w:after="120" w:line="276" w:lineRule="auto"/>
        <w:jc w:val="both"/>
        <w:rPr>
          <w:rFonts w:eastAsia="LMSans12-Regular-Identity-H" w:cstheme="minorHAnsi"/>
        </w:rPr>
      </w:pPr>
      <w:r>
        <w:rPr>
          <w:rFonts w:eastAsia="LMSans12-Regular-Identity-H" w:cstheme="minorHAnsi"/>
        </w:rPr>
        <w:t xml:space="preserve">This document provides work instructions for testing the </w:t>
      </w:r>
      <w:r w:rsidR="002D5754">
        <w:rPr>
          <w:rFonts w:eastAsia="LMSans12-Regular-Identity-H" w:cstheme="minorHAnsi"/>
        </w:rPr>
        <w:t>Front Panel</w:t>
      </w:r>
      <w:r w:rsidR="00555AE3">
        <w:rPr>
          <w:rFonts w:eastAsia="LMSans12-Regular-Identity-H" w:cstheme="minorHAnsi"/>
        </w:rPr>
        <w:t xml:space="preserve"> Board</w:t>
      </w:r>
      <w:r>
        <w:rPr>
          <w:rFonts w:eastAsia="LMSans12-Regular-Identity-H" w:cstheme="minorHAnsi"/>
        </w:rPr>
        <w:t xml:space="preserve"> in a SuperDARN transceiver box. Before attempting to implement these instructions, be sure to complete all the preceding steps in the procedure for Servicing a SuperDARN Transceiver.</w:t>
      </w:r>
    </w:p>
    <w:p w14:paraId="79AA3DF9" w14:textId="4E85AA22" w:rsidR="00776CE9" w:rsidRDefault="00E66F69" w:rsidP="007D5742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eastAsia="LMSans12-Regular-Identity-H" w:cstheme="majorHAnsi"/>
        </w:rPr>
      </w:pPr>
      <w:bookmarkStart w:id="1" w:name="_Toc95809778"/>
      <w:r>
        <w:rPr>
          <w:rFonts w:eastAsia="LMSans12-Regular-Identity-H" w:cstheme="majorHAnsi"/>
        </w:rPr>
        <w:t>Instructions</w:t>
      </w:r>
      <w:bookmarkEnd w:id="1"/>
    </w:p>
    <w:p w14:paraId="78DCBEC1" w14:textId="629A8BFE" w:rsidR="00F1194B" w:rsidRPr="006A549E" w:rsidRDefault="00F1194B" w:rsidP="007D5742">
      <w:pPr>
        <w:spacing w:line="276" w:lineRule="auto"/>
        <w:jc w:val="both"/>
        <w:rPr>
          <w:rFonts w:cstheme="minorHAnsi"/>
        </w:rPr>
      </w:pPr>
      <w:r w:rsidRPr="00550752">
        <w:rPr>
          <w:rFonts w:cstheme="minorHAnsi"/>
        </w:rPr>
        <w:t xml:space="preserve">Following are the step-by-step instructions for testing the </w:t>
      </w:r>
      <w:r w:rsidR="002D5754">
        <w:rPr>
          <w:rFonts w:cstheme="minorHAnsi"/>
        </w:rPr>
        <w:t>Front Panel</w:t>
      </w:r>
      <w:r w:rsidR="00344880" w:rsidRPr="00550752">
        <w:rPr>
          <w:rFonts w:cstheme="minorHAnsi"/>
        </w:rPr>
        <w:t xml:space="preserve"> Board</w:t>
      </w:r>
      <w:r w:rsidRPr="00550752">
        <w:rPr>
          <w:rFonts w:cstheme="minorHAnsi"/>
        </w:rPr>
        <w:t>. In the case of unforeseen problems occurring, apply electronic fault-finding techniques.</w:t>
      </w:r>
      <w:r w:rsidR="006A549E">
        <w:rPr>
          <w:rFonts w:cstheme="minorHAnsi"/>
        </w:rPr>
        <w:t xml:space="preserve"> Refer to </w:t>
      </w:r>
      <w:r w:rsidR="001501DE" w:rsidRPr="001501DE">
        <w:rPr>
          <w:rFonts w:cstheme="minorHAnsi"/>
          <w:i/>
          <w:iCs/>
          <w:color w:val="1F3864" w:themeColor="accent1" w:themeShade="80"/>
        </w:rPr>
        <w:fldChar w:fldCharType="begin"/>
      </w:r>
      <w:r w:rsidR="001501DE" w:rsidRPr="001501DE">
        <w:rPr>
          <w:rFonts w:cstheme="minorHAnsi"/>
          <w:i/>
          <w:iCs/>
          <w:color w:val="1F3864" w:themeColor="accent1" w:themeShade="80"/>
        </w:rPr>
        <w:instrText xml:space="preserve"> REF _Ref95809658 \h </w:instrText>
      </w:r>
      <w:r w:rsidR="001501DE" w:rsidRPr="001501DE">
        <w:rPr>
          <w:rFonts w:cstheme="minorHAnsi"/>
          <w:i/>
          <w:iCs/>
          <w:color w:val="1F3864" w:themeColor="accent1" w:themeShade="80"/>
        </w:rPr>
      </w:r>
      <w:r w:rsidR="001501DE" w:rsidRPr="001501DE">
        <w:rPr>
          <w:rFonts w:cstheme="minorHAnsi"/>
          <w:i/>
          <w:iCs/>
          <w:color w:val="1F3864" w:themeColor="accent1" w:themeShade="80"/>
        </w:rPr>
        <w:instrText xml:space="preserve"> \* MERGEFORMAT </w:instrText>
      </w:r>
      <w:r w:rsidR="001501DE" w:rsidRPr="001501DE">
        <w:rPr>
          <w:rFonts w:cstheme="minorHAnsi"/>
          <w:i/>
          <w:iCs/>
          <w:color w:val="1F3864" w:themeColor="accent1" w:themeShade="80"/>
        </w:rPr>
        <w:fldChar w:fldCharType="separate"/>
      </w:r>
      <w:r w:rsidR="001501DE" w:rsidRPr="001501DE">
        <w:rPr>
          <w:i/>
          <w:iCs/>
          <w:color w:val="1F3864" w:themeColor="accent1" w:themeShade="80"/>
        </w:rPr>
        <w:t xml:space="preserve">Figure </w:t>
      </w:r>
      <w:r w:rsidR="001501DE" w:rsidRPr="001501DE">
        <w:rPr>
          <w:i/>
          <w:iCs/>
          <w:noProof/>
          <w:color w:val="1F3864" w:themeColor="accent1" w:themeShade="80"/>
        </w:rPr>
        <w:t>1</w:t>
      </w:r>
      <w:r w:rsidR="001501DE" w:rsidRPr="001501DE">
        <w:rPr>
          <w:rFonts w:cstheme="minorHAnsi"/>
          <w:i/>
          <w:iCs/>
          <w:color w:val="1F3864" w:themeColor="accent1" w:themeShade="80"/>
        </w:rPr>
        <w:fldChar w:fldCharType="end"/>
      </w:r>
      <w:r w:rsidR="002D5754">
        <w:rPr>
          <w:rFonts w:cstheme="minorHAnsi"/>
          <w:i/>
          <w:iCs/>
          <w:color w:val="1F3864" w:themeColor="accent1" w:themeShade="80"/>
        </w:rPr>
        <w:t xml:space="preserve"> </w:t>
      </w:r>
      <w:r w:rsidR="006A549E">
        <w:rPr>
          <w:rFonts w:cstheme="minorHAnsi"/>
        </w:rPr>
        <w:t xml:space="preserve">for </w:t>
      </w:r>
      <w:r w:rsidR="008551E4">
        <w:rPr>
          <w:rFonts w:cstheme="minorHAnsi"/>
        </w:rPr>
        <w:t>component and connection locations.</w:t>
      </w:r>
    </w:p>
    <w:p w14:paraId="5B802EE7" w14:textId="72091B6C" w:rsidR="002D5754" w:rsidRDefault="002D5754" w:rsidP="002D5754">
      <w:pPr>
        <w:pStyle w:val="LysParagraaf"/>
        <w:numPr>
          <w:ilvl w:val="0"/>
          <w:numId w:val="6"/>
        </w:numPr>
        <w:jc w:val="both"/>
      </w:pPr>
      <w:r>
        <w:t xml:space="preserve">Connect the ribbon cable from the Front Panel on </w:t>
      </w:r>
      <w:r w:rsidRPr="002F2871">
        <w:rPr>
          <w:b/>
          <w:bCs/>
        </w:rPr>
        <w:t>P</w:t>
      </w:r>
      <w:r w:rsidR="001501DE">
        <w:rPr>
          <w:b/>
          <w:bCs/>
        </w:rPr>
        <w:t>2</w:t>
      </w:r>
      <w:r>
        <w:t xml:space="preserve"> to the Power Distribution Board.</w:t>
      </w:r>
    </w:p>
    <w:p w14:paraId="174E897F" w14:textId="77777777" w:rsidR="002F2871" w:rsidRDefault="002D5754" w:rsidP="002D5754">
      <w:pPr>
        <w:pStyle w:val="LysParagraaf"/>
        <w:numPr>
          <w:ilvl w:val="0"/>
          <w:numId w:val="6"/>
        </w:numPr>
        <w:jc w:val="both"/>
      </w:pPr>
      <w:r>
        <w:t>Switch on the 15 V from the switch on the front plate.</w:t>
      </w:r>
    </w:p>
    <w:p w14:paraId="15764C98" w14:textId="5C82AE88" w:rsidR="002D5754" w:rsidRDefault="002F2871" w:rsidP="002D5754">
      <w:pPr>
        <w:pStyle w:val="LysParagraaf"/>
        <w:numPr>
          <w:ilvl w:val="0"/>
          <w:numId w:val="6"/>
        </w:numPr>
        <w:jc w:val="both"/>
      </w:pPr>
      <w:r>
        <w:t xml:space="preserve">There are three LEDs on the FPB indicating voltages 15 V, 5 V, and 3.3 V. All three of these should be </w:t>
      </w:r>
      <w:r w:rsidRPr="002F2871">
        <w:rPr>
          <w:b/>
          <w:bCs/>
        </w:rPr>
        <w:t>ON</w:t>
      </w:r>
      <w:r>
        <w:t>.</w:t>
      </w:r>
    </w:p>
    <w:p w14:paraId="1C6E882D" w14:textId="25AC9B1F" w:rsidR="002F2871" w:rsidRDefault="002F2871" w:rsidP="002F2871">
      <w:pPr>
        <w:pStyle w:val="LysParagraaf"/>
        <w:numPr>
          <w:ilvl w:val="1"/>
          <w:numId w:val="6"/>
        </w:numPr>
        <w:jc w:val="both"/>
      </w:pPr>
      <w:r>
        <w:t xml:space="preserve">If the 3.3 V LED is </w:t>
      </w:r>
      <w:r w:rsidRPr="002F2871">
        <w:rPr>
          <w:b/>
          <w:bCs/>
        </w:rPr>
        <w:t>OFF</w:t>
      </w:r>
      <w:r>
        <w:rPr>
          <w:b/>
          <w:bCs/>
        </w:rPr>
        <w:t>,</w:t>
      </w:r>
      <w:r>
        <w:t xml:space="preserve"> check the pin and regulator at </w:t>
      </w:r>
      <w:r w:rsidRPr="002F2871">
        <w:rPr>
          <w:b/>
          <w:bCs/>
        </w:rPr>
        <w:t>U1</w:t>
      </w:r>
      <w:r>
        <w:t>.</w:t>
      </w:r>
    </w:p>
    <w:p w14:paraId="3B2AA96B" w14:textId="69C7A9C2" w:rsidR="002F2871" w:rsidRDefault="002F2871" w:rsidP="002F2871">
      <w:pPr>
        <w:pStyle w:val="LysParagraaf"/>
        <w:numPr>
          <w:ilvl w:val="1"/>
          <w:numId w:val="6"/>
        </w:numPr>
        <w:jc w:val="both"/>
      </w:pPr>
      <w:r>
        <w:t xml:space="preserve">If the 5 V LED is </w:t>
      </w:r>
      <w:r w:rsidRPr="002F2871">
        <w:rPr>
          <w:b/>
          <w:bCs/>
        </w:rPr>
        <w:t>OFF</w:t>
      </w:r>
      <w:r>
        <w:t xml:space="preserve">, check the pin and regulator at </w:t>
      </w:r>
      <w:r w:rsidRPr="002F2871">
        <w:rPr>
          <w:b/>
          <w:bCs/>
        </w:rPr>
        <w:t>U2</w:t>
      </w:r>
      <w:r>
        <w:t>.</w:t>
      </w:r>
    </w:p>
    <w:p w14:paraId="2B8D602D" w14:textId="51ED881C" w:rsidR="002F2871" w:rsidRDefault="002F2871" w:rsidP="002F2871">
      <w:pPr>
        <w:pStyle w:val="LysParagraaf"/>
        <w:numPr>
          <w:ilvl w:val="1"/>
          <w:numId w:val="6"/>
        </w:numPr>
        <w:jc w:val="both"/>
      </w:pPr>
      <w:r>
        <w:t xml:space="preserve">If the 15 V LED is </w:t>
      </w:r>
      <w:r w:rsidRPr="002F2871">
        <w:rPr>
          <w:b/>
          <w:bCs/>
        </w:rPr>
        <w:t>OFF</w:t>
      </w:r>
      <w:r>
        <w:t>, there is a fault on the 15 V line. If there hasn’t been a problem in any of the previous test steps, the fault is on the Front Panel Board, so fault-find here.</w:t>
      </w:r>
    </w:p>
    <w:p w14:paraId="4C9C0254" w14:textId="77777777" w:rsidR="001501DE" w:rsidRDefault="001501DE" w:rsidP="001501DE">
      <w:pPr>
        <w:keepNext/>
        <w:jc w:val="center"/>
      </w:pPr>
      <w:r>
        <w:rPr>
          <w:noProof/>
        </w:rPr>
        <w:drawing>
          <wp:inline distT="0" distB="0" distL="0" distR="0" wp14:anchorId="3B46483F" wp14:editId="6C1DC7EF">
            <wp:extent cx="5040000" cy="1432800"/>
            <wp:effectExtent l="0" t="0" r="8255" b="0"/>
            <wp:docPr id="3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43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8B8D7D" w14:textId="61C1FB55" w:rsidR="001501DE" w:rsidRDefault="001501DE" w:rsidP="001501DE">
      <w:pPr>
        <w:pStyle w:val="Byskrif"/>
        <w:jc w:val="center"/>
      </w:pPr>
      <w:bookmarkStart w:id="2" w:name="_Ref95809658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2"/>
      <w:r>
        <w:t>. Important components and connections on the Front Panel Board.</w:t>
      </w:r>
    </w:p>
    <w:p w14:paraId="1D994B4C" w14:textId="4877C60A" w:rsidR="002F2871" w:rsidRPr="002F2871" w:rsidRDefault="002F2871" w:rsidP="002F2871">
      <w:pPr>
        <w:pStyle w:val="LysParagraaf"/>
        <w:numPr>
          <w:ilvl w:val="0"/>
          <w:numId w:val="6"/>
        </w:numPr>
      </w:pPr>
      <w:r w:rsidRPr="002F2871">
        <w:t xml:space="preserve">There is also one row of four LEDs on the front plate face which should light up. The second row of LEDs should be off but may flash momentarily </w:t>
      </w:r>
      <w:r>
        <w:t>when switched on</w:t>
      </w:r>
      <w:r w:rsidRPr="002F2871">
        <w:t xml:space="preserve"> (</w:t>
      </w:r>
      <w:r>
        <w:t>t</w:t>
      </w:r>
      <w:r w:rsidRPr="002F2871">
        <w:t xml:space="preserve">his will depend on </w:t>
      </w:r>
      <w:r>
        <w:t xml:space="preserve">the </w:t>
      </w:r>
      <w:r w:rsidRPr="002F2871">
        <w:t>firmware version)</w:t>
      </w:r>
      <w:r>
        <w:t>.</w:t>
      </w:r>
    </w:p>
    <w:p w14:paraId="2F7C9CE1" w14:textId="74DEFF40" w:rsidR="002F2871" w:rsidRDefault="002F2871" w:rsidP="002F2871">
      <w:pPr>
        <w:pStyle w:val="LysParagraaf"/>
        <w:numPr>
          <w:ilvl w:val="0"/>
          <w:numId w:val="6"/>
        </w:numPr>
        <w:jc w:val="both"/>
      </w:pPr>
      <w:r>
        <w:t xml:space="preserve">Scroll using the turn knob to the voltage screen on the Front Panel </w:t>
      </w:r>
      <w:r>
        <w:t xml:space="preserve">LCD </w:t>
      </w:r>
      <w:r>
        <w:t>and check that the voltages</w:t>
      </w:r>
      <w:r>
        <w:t xml:space="preserve"> </w:t>
      </w:r>
      <w:r>
        <w:t>are displaying. The voltages from the FPGA will be blank at this time. If any other voltages</w:t>
      </w:r>
      <w:r>
        <w:t xml:space="preserve"> </w:t>
      </w:r>
      <w:r>
        <w:t xml:space="preserve">from the Power Distribution Board are </w:t>
      </w:r>
      <w:r>
        <w:t>missing,</w:t>
      </w:r>
      <w:r>
        <w:t xml:space="preserve"> check the ribbon cable. Remember to</w:t>
      </w:r>
      <w:r>
        <w:t xml:space="preserve"> </w:t>
      </w:r>
      <w:r>
        <w:t>apply 3.3</w:t>
      </w:r>
      <w:r>
        <w:t xml:space="preserve"> </w:t>
      </w:r>
      <w:r>
        <w:t>V to the relay to see the 50</w:t>
      </w:r>
      <w:r>
        <w:t xml:space="preserve"> </w:t>
      </w:r>
      <w:r>
        <w:t>V display.</w:t>
      </w:r>
    </w:p>
    <w:p w14:paraId="382916CD" w14:textId="748717B1" w:rsidR="002F2871" w:rsidRDefault="002F2871" w:rsidP="002F2871">
      <w:pPr>
        <w:pStyle w:val="LysParagraaf"/>
        <w:numPr>
          <w:ilvl w:val="0"/>
          <w:numId w:val="6"/>
        </w:numPr>
        <w:jc w:val="both"/>
      </w:pPr>
      <w:r>
        <w:t>Power off.</w:t>
      </w:r>
    </w:p>
    <w:p w14:paraId="7DA4CEB1" w14:textId="7A4A412A" w:rsidR="002F2871" w:rsidRDefault="001501DE" w:rsidP="002F2871">
      <w:pPr>
        <w:pStyle w:val="LysParagraaf"/>
        <w:numPr>
          <w:ilvl w:val="0"/>
          <w:numId w:val="6"/>
        </w:numPr>
        <w:jc w:val="both"/>
      </w:pPr>
      <w:r>
        <w:t xml:space="preserve">Now connect the ribbon cables at </w:t>
      </w:r>
      <w:r w:rsidRPr="001501DE">
        <w:rPr>
          <w:b/>
          <w:bCs/>
        </w:rPr>
        <w:t>P3</w:t>
      </w:r>
      <w:r>
        <w:t xml:space="preserve"> and </w:t>
      </w:r>
      <w:r w:rsidRPr="001501DE">
        <w:rPr>
          <w:b/>
          <w:bCs/>
        </w:rPr>
        <w:t>P5</w:t>
      </w:r>
      <w:r>
        <w:t>. Power up.</w:t>
      </w:r>
    </w:p>
    <w:p w14:paraId="0DB2CF5D" w14:textId="645C6BE6" w:rsidR="001501DE" w:rsidRDefault="001501DE" w:rsidP="002F2871">
      <w:pPr>
        <w:pStyle w:val="LysParagraaf"/>
        <w:numPr>
          <w:ilvl w:val="0"/>
          <w:numId w:val="6"/>
        </w:numPr>
        <w:jc w:val="both"/>
      </w:pPr>
      <w:r>
        <w:t xml:space="preserve">Check that the Front Panel boots up correctly. If the Front Panel browns out or fails to start up at this point, the problem is most likely with a ribbon cable, the </w:t>
      </w:r>
      <w:proofErr w:type="spellStart"/>
      <w:r>
        <w:t>Lantronix</w:t>
      </w:r>
      <w:proofErr w:type="spellEnd"/>
      <w:r>
        <w:t xml:space="preserve"> Board, or the FPGA.</w:t>
      </w:r>
    </w:p>
    <w:p w14:paraId="2D1D1680" w14:textId="46BE0CF3" w:rsidR="001501DE" w:rsidRDefault="001501DE" w:rsidP="001501DE">
      <w:pPr>
        <w:pStyle w:val="LysParagraaf"/>
        <w:numPr>
          <w:ilvl w:val="0"/>
          <w:numId w:val="6"/>
        </w:numPr>
        <w:jc w:val="both"/>
      </w:pPr>
      <w:r w:rsidRPr="001501DE">
        <w:rPr>
          <w:b/>
          <w:bCs/>
        </w:rPr>
        <w:t>D1</w:t>
      </w:r>
      <w:r>
        <w:t xml:space="preserve"> on the </w:t>
      </w:r>
      <w:proofErr w:type="spellStart"/>
      <w:r>
        <w:t>Lantronix</w:t>
      </w:r>
      <w:proofErr w:type="spellEnd"/>
      <w:r>
        <w:t xml:space="preserve"> board should light up if all is OK; refer to </w:t>
      </w:r>
      <w:r>
        <w:fldChar w:fldCharType="begin"/>
      </w:r>
      <w:r>
        <w:instrText xml:space="preserve"> REF _Ref95809734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.</w:t>
      </w:r>
    </w:p>
    <w:p w14:paraId="31059871" w14:textId="77777777" w:rsidR="001501DE" w:rsidRDefault="001501DE" w:rsidP="001501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5D3A62" wp14:editId="4398CB6E">
            <wp:extent cx="5040000" cy="2692800"/>
            <wp:effectExtent l="0" t="0" r="8255" b="0"/>
            <wp:docPr id="4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69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88E92E" w14:textId="0021F8B7" w:rsidR="001501DE" w:rsidRDefault="001501DE" w:rsidP="001501DE">
      <w:pPr>
        <w:pStyle w:val="Byskrif"/>
        <w:jc w:val="center"/>
      </w:pPr>
      <w:bookmarkStart w:id="3" w:name="_Ref95809734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3"/>
      <w:r>
        <w:t xml:space="preserve">. </w:t>
      </w:r>
      <w:proofErr w:type="spellStart"/>
      <w:r>
        <w:t>Lantronix</w:t>
      </w:r>
      <w:proofErr w:type="spellEnd"/>
      <w:r>
        <w:t xml:space="preserve"> Board LED location.</w:t>
      </w:r>
    </w:p>
    <w:p w14:paraId="1E4724F1" w14:textId="7B9B2AE5" w:rsidR="001501DE" w:rsidRDefault="001501DE" w:rsidP="001501DE">
      <w:pPr>
        <w:pStyle w:val="LysParagraaf"/>
        <w:numPr>
          <w:ilvl w:val="0"/>
          <w:numId w:val="6"/>
        </w:numPr>
        <w:jc w:val="both"/>
      </w:pPr>
      <w:r>
        <w:t>If all is well, power off.</w:t>
      </w:r>
    </w:p>
    <w:p w14:paraId="26DDD881" w14:textId="3FD8D98A" w:rsidR="00FF0B23" w:rsidRPr="00FF0B23" w:rsidRDefault="00FF0B23" w:rsidP="007D5742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4" w:name="_Toc95809779"/>
      <w:r w:rsidRPr="00FF0B23">
        <w:rPr>
          <w:rFonts w:cstheme="majorHAnsi"/>
        </w:rPr>
        <w:t>Conclusion</w:t>
      </w:r>
      <w:bookmarkEnd w:id="4"/>
    </w:p>
    <w:p w14:paraId="1069F250" w14:textId="62F895C1" w:rsidR="00FF0B23" w:rsidRPr="00FF0B23" w:rsidRDefault="00FF0B23" w:rsidP="007D5742">
      <w:pPr>
        <w:spacing w:before="120" w:after="120" w:line="276" w:lineRule="auto"/>
        <w:jc w:val="both"/>
      </w:pPr>
      <w:r>
        <w:t xml:space="preserve">This concludes the </w:t>
      </w:r>
      <w:r w:rsidR="003758E3">
        <w:t>work instructions</w:t>
      </w:r>
      <w:r w:rsidR="00CB0967">
        <w:t xml:space="preserve"> for </w:t>
      </w:r>
      <w:r w:rsidR="003758E3">
        <w:t xml:space="preserve">testing the </w:t>
      </w:r>
      <w:r w:rsidR="001501DE">
        <w:t>Front Panel Board</w:t>
      </w:r>
      <w:r w:rsidR="003758E3">
        <w:t xml:space="preserve"> of a </w:t>
      </w:r>
      <w:r w:rsidR="00CB0967">
        <w:t xml:space="preserve">SuperDARN </w:t>
      </w:r>
      <w:r w:rsidR="003758E3">
        <w:t>t</w:t>
      </w:r>
      <w:r w:rsidR="00CB0967">
        <w:t xml:space="preserve">ransceiver </w:t>
      </w:r>
      <w:r w:rsidR="003758E3">
        <w:t>b</w:t>
      </w:r>
      <w:r w:rsidR="00CB0967">
        <w:t>o</w:t>
      </w:r>
      <w:r w:rsidR="003758E3">
        <w:t>x</w:t>
      </w:r>
      <w:r w:rsidR="00CB0967">
        <w:t>.</w:t>
      </w:r>
      <w:r w:rsidR="005E28D0">
        <w:t xml:space="preserve"> The next step in the</w:t>
      </w:r>
      <w:r w:rsidR="003758E3">
        <w:t xml:space="preserve"> procedure for Servicing a SuperDARN Transceiver</w:t>
      </w:r>
      <w:r w:rsidR="005E28D0">
        <w:t xml:space="preserve"> is to test the </w:t>
      </w:r>
      <w:r w:rsidR="0086115C">
        <w:t>Capacitor</w:t>
      </w:r>
      <w:r w:rsidR="00F1194B">
        <w:t xml:space="preserve"> Board</w:t>
      </w:r>
      <w:r w:rsidR="005E28D0">
        <w:t>.</w:t>
      </w:r>
    </w:p>
    <w:sectPr w:rsidR="00FF0B23" w:rsidRPr="00FF0B23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18B"/>
    <w:multiLevelType w:val="hybridMultilevel"/>
    <w:tmpl w:val="96C81E80"/>
    <w:lvl w:ilvl="0" w:tplc="8AD82BB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652E9"/>
    <w:multiLevelType w:val="hybridMultilevel"/>
    <w:tmpl w:val="AFD298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21B37"/>
    <w:multiLevelType w:val="hybridMultilevel"/>
    <w:tmpl w:val="548ACCC2"/>
    <w:lvl w:ilvl="0" w:tplc="6D085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D5C19"/>
    <w:multiLevelType w:val="hybridMultilevel"/>
    <w:tmpl w:val="FA32F792"/>
    <w:lvl w:ilvl="0" w:tplc="99F61C38"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4E103A"/>
    <w:multiLevelType w:val="hybridMultilevel"/>
    <w:tmpl w:val="295AAB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109E4"/>
    <w:rsid w:val="000171A7"/>
    <w:rsid w:val="00026800"/>
    <w:rsid w:val="00033466"/>
    <w:rsid w:val="000607E7"/>
    <w:rsid w:val="00080C8E"/>
    <w:rsid w:val="00081FBF"/>
    <w:rsid w:val="000A6194"/>
    <w:rsid w:val="000B4CD2"/>
    <w:rsid w:val="00135AC9"/>
    <w:rsid w:val="001501DE"/>
    <w:rsid w:val="0016195D"/>
    <w:rsid w:val="00184D29"/>
    <w:rsid w:val="001D0734"/>
    <w:rsid w:val="00252DAD"/>
    <w:rsid w:val="0028231C"/>
    <w:rsid w:val="002D5754"/>
    <w:rsid w:val="002F2871"/>
    <w:rsid w:val="003313D8"/>
    <w:rsid w:val="00333872"/>
    <w:rsid w:val="00337FF9"/>
    <w:rsid w:val="00344880"/>
    <w:rsid w:val="00346A62"/>
    <w:rsid w:val="003758E3"/>
    <w:rsid w:val="003A6BCB"/>
    <w:rsid w:val="003B30D0"/>
    <w:rsid w:val="0041561F"/>
    <w:rsid w:val="00452DC0"/>
    <w:rsid w:val="00480EAA"/>
    <w:rsid w:val="00550752"/>
    <w:rsid w:val="00555AE3"/>
    <w:rsid w:val="0059608E"/>
    <w:rsid w:val="005B0466"/>
    <w:rsid w:val="005E28D0"/>
    <w:rsid w:val="006860EF"/>
    <w:rsid w:val="006A549E"/>
    <w:rsid w:val="00776CE9"/>
    <w:rsid w:val="007A05AA"/>
    <w:rsid w:val="007D06A0"/>
    <w:rsid w:val="007D5742"/>
    <w:rsid w:val="00811DF3"/>
    <w:rsid w:val="008177EF"/>
    <w:rsid w:val="008278DB"/>
    <w:rsid w:val="008551E4"/>
    <w:rsid w:val="0086115C"/>
    <w:rsid w:val="008868DF"/>
    <w:rsid w:val="008B0A66"/>
    <w:rsid w:val="008E7C85"/>
    <w:rsid w:val="008F5595"/>
    <w:rsid w:val="00925ED1"/>
    <w:rsid w:val="009721F9"/>
    <w:rsid w:val="0099604F"/>
    <w:rsid w:val="00A021DF"/>
    <w:rsid w:val="00A212AE"/>
    <w:rsid w:val="00A654B8"/>
    <w:rsid w:val="00AA3DB7"/>
    <w:rsid w:val="00C85677"/>
    <w:rsid w:val="00CB0967"/>
    <w:rsid w:val="00D3008B"/>
    <w:rsid w:val="00D46924"/>
    <w:rsid w:val="00DE4B25"/>
    <w:rsid w:val="00E4471D"/>
    <w:rsid w:val="00E57C9F"/>
    <w:rsid w:val="00E61847"/>
    <w:rsid w:val="00E66F69"/>
    <w:rsid w:val="00F1194B"/>
    <w:rsid w:val="00F47DF3"/>
    <w:rsid w:val="00FA7B23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41</cp:revision>
  <dcterms:created xsi:type="dcterms:W3CDTF">2022-02-14T07:00:00Z</dcterms:created>
  <dcterms:modified xsi:type="dcterms:W3CDTF">2022-02-15T07:29:00Z</dcterms:modified>
</cp:coreProperties>
</file>