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39AA" w14:textId="77777777" w:rsidR="00564EE1" w:rsidRDefault="00E66F69" w:rsidP="00F47DF3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 xml:space="preserve">Testing </w:t>
      </w:r>
      <w:r w:rsidR="00F3358D">
        <w:rPr>
          <w:rFonts w:asciiTheme="majorHAnsi" w:hAnsiTheme="majorHAnsi" w:cstheme="majorHAnsi"/>
          <w:sz w:val="44"/>
          <w:szCs w:val="44"/>
        </w:rPr>
        <w:t>the</w:t>
      </w:r>
      <w:r>
        <w:rPr>
          <w:rFonts w:asciiTheme="majorHAnsi" w:hAnsiTheme="majorHAnsi" w:cstheme="majorHAnsi"/>
          <w:sz w:val="44"/>
          <w:szCs w:val="44"/>
        </w:rPr>
        <w:t xml:space="preserve"> 50 V Power Supply Unit</w:t>
      </w:r>
    </w:p>
    <w:p w14:paraId="3218FDA0" w14:textId="359E171B" w:rsidR="00F47DF3" w:rsidRDefault="00081FBF" w:rsidP="00F47DF3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 xml:space="preserve">Servicing a </w:t>
      </w:r>
      <w:proofErr w:type="spellStart"/>
      <w:r w:rsidRPr="0059608E">
        <w:rPr>
          <w:rFonts w:asciiTheme="majorHAnsi" w:hAnsiTheme="majorHAnsi" w:cstheme="majorHAnsi"/>
        </w:rPr>
        <w:t>SuperDARN</w:t>
      </w:r>
      <w:proofErr w:type="spellEnd"/>
      <w:r w:rsidRPr="0059608E">
        <w:rPr>
          <w:rFonts w:asciiTheme="majorHAnsi" w:hAnsiTheme="majorHAnsi" w:cstheme="majorHAnsi"/>
        </w:rPr>
        <w:t xml:space="preserve"> Transceiver</w:t>
      </w:r>
      <w:r w:rsidR="00564EE1">
        <w:rPr>
          <w:rFonts w:asciiTheme="majorHAnsi" w:hAnsiTheme="majorHAnsi" w:cstheme="majorHAnsi"/>
        </w:rPr>
        <w:br/>
      </w:r>
      <w:r w:rsidR="00383D6F">
        <w:rPr>
          <w:rFonts w:asciiTheme="majorHAnsi" w:hAnsiTheme="majorHAnsi" w:cstheme="majorHAnsi"/>
        </w:rPr>
        <w:t>Step 2</w:t>
      </w:r>
    </w:p>
    <w:p w14:paraId="052810D1" w14:textId="77777777" w:rsidR="00F47DF3" w:rsidRDefault="00F47D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5E28D0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1FDC701A" w14:textId="465C9601" w:rsidR="003758E3" w:rsidRDefault="000607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734564" w:history="1">
            <w:r w:rsidR="003758E3" w:rsidRPr="000E2761">
              <w:rPr>
                <w:rStyle w:val="Hiperskakel"/>
                <w:rFonts w:cstheme="majorHAnsi"/>
                <w:noProof/>
              </w:rPr>
              <w:t>1.</w:t>
            </w:r>
            <w:r w:rsidR="003758E3">
              <w:rPr>
                <w:rFonts w:eastAsiaTheme="minorEastAsia"/>
                <w:noProof/>
                <w:lang w:eastAsia="en-ZA"/>
              </w:rPr>
              <w:tab/>
            </w:r>
            <w:r w:rsidR="003758E3" w:rsidRPr="000E2761">
              <w:rPr>
                <w:rStyle w:val="Hiperskakel"/>
                <w:rFonts w:cstheme="majorHAnsi"/>
                <w:noProof/>
              </w:rPr>
              <w:t>Introduction</w:t>
            </w:r>
            <w:r w:rsidR="003758E3">
              <w:rPr>
                <w:noProof/>
                <w:webHidden/>
              </w:rPr>
              <w:tab/>
            </w:r>
            <w:r w:rsidR="003758E3">
              <w:rPr>
                <w:noProof/>
                <w:webHidden/>
              </w:rPr>
              <w:fldChar w:fldCharType="begin"/>
            </w:r>
            <w:r w:rsidR="003758E3">
              <w:rPr>
                <w:noProof/>
                <w:webHidden/>
              </w:rPr>
              <w:instrText xml:space="preserve"> PAGEREF _Toc95734564 \h </w:instrText>
            </w:r>
            <w:r w:rsidR="003758E3">
              <w:rPr>
                <w:noProof/>
                <w:webHidden/>
              </w:rPr>
            </w:r>
            <w:r w:rsidR="003758E3">
              <w:rPr>
                <w:noProof/>
                <w:webHidden/>
              </w:rPr>
              <w:fldChar w:fldCharType="separate"/>
            </w:r>
            <w:r w:rsidR="003758E3">
              <w:rPr>
                <w:noProof/>
                <w:webHidden/>
              </w:rPr>
              <w:t>3</w:t>
            </w:r>
            <w:r w:rsidR="003758E3">
              <w:rPr>
                <w:noProof/>
                <w:webHidden/>
              </w:rPr>
              <w:fldChar w:fldCharType="end"/>
            </w:r>
          </w:hyperlink>
        </w:p>
        <w:p w14:paraId="66C55C2D" w14:textId="130A68AF" w:rsidR="003758E3" w:rsidRDefault="001711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734565" w:history="1">
            <w:r w:rsidR="003758E3" w:rsidRPr="000E2761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 w:rsidR="003758E3">
              <w:rPr>
                <w:rFonts w:eastAsiaTheme="minorEastAsia"/>
                <w:noProof/>
                <w:lang w:eastAsia="en-ZA"/>
              </w:rPr>
              <w:tab/>
            </w:r>
            <w:r w:rsidR="003758E3" w:rsidRPr="000E2761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 w:rsidR="003758E3">
              <w:rPr>
                <w:noProof/>
                <w:webHidden/>
              </w:rPr>
              <w:tab/>
            </w:r>
            <w:r w:rsidR="003758E3">
              <w:rPr>
                <w:noProof/>
                <w:webHidden/>
              </w:rPr>
              <w:fldChar w:fldCharType="begin"/>
            </w:r>
            <w:r w:rsidR="003758E3">
              <w:rPr>
                <w:noProof/>
                <w:webHidden/>
              </w:rPr>
              <w:instrText xml:space="preserve"> PAGEREF _Toc95734565 \h </w:instrText>
            </w:r>
            <w:r w:rsidR="003758E3">
              <w:rPr>
                <w:noProof/>
                <w:webHidden/>
              </w:rPr>
            </w:r>
            <w:r w:rsidR="003758E3">
              <w:rPr>
                <w:noProof/>
                <w:webHidden/>
              </w:rPr>
              <w:fldChar w:fldCharType="separate"/>
            </w:r>
            <w:r w:rsidR="003758E3">
              <w:rPr>
                <w:noProof/>
                <w:webHidden/>
              </w:rPr>
              <w:t>3</w:t>
            </w:r>
            <w:r w:rsidR="003758E3">
              <w:rPr>
                <w:noProof/>
                <w:webHidden/>
              </w:rPr>
              <w:fldChar w:fldCharType="end"/>
            </w:r>
          </w:hyperlink>
        </w:p>
        <w:p w14:paraId="3C6E162C" w14:textId="37EFCC37" w:rsidR="003758E3" w:rsidRDefault="001711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734566" w:history="1">
            <w:r w:rsidR="003758E3" w:rsidRPr="000E2761">
              <w:rPr>
                <w:rStyle w:val="Hiperskakel"/>
                <w:rFonts w:cstheme="majorHAnsi"/>
                <w:noProof/>
              </w:rPr>
              <w:t>3.</w:t>
            </w:r>
            <w:r w:rsidR="003758E3">
              <w:rPr>
                <w:rFonts w:eastAsiaTheme="minorEastAsia"/>
                <w:noProof/>
                <w:lang w:eastAsia="en-ZA"/>
              </w:rPr>
              <w:tab/>
            </w:r>
            <w:r w:rsidR="003758E3" w:rsidRPr="000E2761">
              <w:rPr>
                <w:rStyle w:val="Hiperskakel"/>
                <w:rFonts w:cstheme="majorHAnsi"/>
                <w:noProof/>
              </w:rPr>
              <w:t>Conclusion</w:t>
            </w:r>
            <w:r w:rsidR="003758E3">
              <w:rPr>
                <w:noProof/>
                <w:webHidden/>
              </w:rPr>
              <w:tab/>
            </w:r>
            <w:r w:rsidR="003758E3">
              <w:rPr>
                <w:noProof/>
                <w:webHidden/>
              </w:rPr>
              <w:fldChar w:fldCharType="begin"/>
            </w:r>
            <w:r w:rsidR="003758E3">
              <w:rPr>
                <w:noProof/>
                <w:webHidden/>
              </w:rPr>
              <w:instrText xml:space="preserve"> PAGEREF _Toc95734566 \h </w:instrText>
            </w:r>
            <w:r w:rsidR="003758E3">
              <w:rPr>
                <w:noProof/>
                <w:webHidden/>
              </w:rPr>
            </w:r>
            <w:r w:rsidR="003758E3">
              <w:rPr>
                <w:noProof/>
                <w:webHidden/>
              </w:rPr>
              <w:fldChar w:fldCharType="separate"/>
            </w:r>
            <w:r w:rsidR="003758E3">
              <w:rPr>
                <w:noProof/>
                <w:webHidden/>
              </w:rPr>
              <w:t>3</w:t>
            </w:r>
            <w:r w:rsidR="003758E3">
              <w:rPr>
                <w:noProof/>
                <w:webHidden/>
              </w:rPr>
              <w:fldChar w:fldCharType="end"/>
            </w:r>
          </w:hyperlink>
        </w:p>
        <w:p w14:paraId="6505E2E3" w14:textId="66555812" w:rsidR="000607E7" w:rsidRPr="00FF0B23" w:rsidRDefault="000607E7" w:rsidP="005E28D0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5E28D0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5E28D0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734564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5F39A0D8" w:rsidR="000B4CD2" w:rsidRPr="00FF0B23" w:rsidRDefault="00E66F69" w:rsidP="005E28D0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testing the 50 V Power Supply Unit in a </w:t>
      </w:r>
      <w:proofErr w:type="spellStart"/>
      <w:r>
        <w:rPr>
          <w:rFonts w:eastAsia="LMSans12-Regular-Identity-H" w:cstheme="minorHAnsi"/>
        </w:rPr>
        <w:t>SuperDARN</w:t>
      </w:r>
      <w:proofErr w:type="spellEnd"/>
      <w:r>
        <w:rPr>
          <w:rFonts w:eastAsia="LMSans12-Regular-Identity-H" w:cstheme="minorHAnsi"/>
        </w:rPr>
        <w:t xml:space="preserve"> transceiver box. Before attempting to implement these instructions, be sure to complete all the preceding steps in the procedure for Servicing a </w:t>
      </w:r>
      <w:proofErr w:type="spellStart"/>
      <w:r>
        <w:rPr>
          <w:rFonts w:eastAsia="LMSans12-Regular-Identity-H" w:cstheme="minorHAnsi"/>
        </w:rPr>
        <w:t>SuperDARN</w:t>
      </w:r>
      <w:proofErr w:type="spellEnd"/>
      <w:r>
        <w:rPr>
          <w:rFonts w:eastAsia="LMSans12-Regular-Identity-H" w:cstheme="minorHAnsi"/>
        </w:rPr>
        <w:t xml:space="preserve"> Transceiver.</w:t>
      </w:r>
    </w:p>
    <w:p w14:paraId="79AA3DF9" w14:textId="100F2208" w:rsidR="00776CE9" w:rsidRDefault="00E66F69" w:rsidP="005E28D0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734565"/>
      <w:r>
        <w:rPr>
          <w:rFonts w:eastAsia="LMSans12-Regular-Identity-H" w:cstheme="majorHAnsi"/>
        </w:rPr>
        <w:t>Instructions</w:t>
      </w:r>
      <w:bookmarkEnd w:id="1"/>
    </w:p>
    <w:p w14:paraId="2F995643" w14:textId="0324DDDD" w:rsidR="00E66F69" w:rsidRDefault="003758E3" w:rsidP="00E66F69">
      <w:r w:rsidRPr="003758E3">
        <w:rPr>
          <w:i/>
          <w:iCs/>
          <w:color w:val="1F3864" w:themeColor="accent1" w:themeShade="80"/>
        </w:rPr>
        <w:fldChar w:fldCharType="begin"/>
      </w:r>
      <w:r w:rsidRPr="003758E3">
        <w:rPr>
          <w:i/>
          <w:iCs/>
          <w:color w:val="1F3864" w:themeColor="accent1" w:themeShade="80"/>
        </w:rPr>
        <w:instrText xml:space="preserve"> REF _Ref95734223 \h  \* MERGEFORMAT </w:instrText>
      </w:r>
      <w:r w:rsidRPr="003758E3">
        <w:rPr>
          <w:i/>
          <w:iCs/>
          <w:color w:val="1F3864" w:themeColor="accent1" w:themeShade="80"/>
        </w:rPr>
      </w:r>
      <w:r w:rsidRPr="003758E3">
        <w:rPr>
          <w:i/>
          <w:iCs/>
          <w:color w:val="1F3864" w:themeColor="accent1" w:themeShade="80"/>
        </w:rPr>
        <w:fldChar w:fldCharType="separate"/>
      </w:r>
      <w:r w:rsidRPr="003758E3">
        <w:rPr>
          <w:i/>
          <w:iCs/>
          <w:color w:val="1F3864" w:themeColor="accent1" w:themeShade="80"/>
        </w:rPr>
        <w:t xml:space="preserve">Figure </w:t>
      </w:r>
      <w:r w:rsidRPr="003758E3">
        <w:rPr>
          <w:i/>
          <w:iCs/>
          <w:noProof/>
          <w:color w:val="1F3864" w:themeColor="accent1" w:themeShade="80"/>
        </w:rPr>
        <w:t>1</w:t>
      </w:r>
      <w:r w:rsidRPr="003758E3">
        <w:rPr>
          <w:i/>
          <w:iCs/>
          <w:color w:val="1F3864" w:themeColor="accent1" w:themeShade="80"/>
        </w:rPr>
        <w:fldChar w:fldCharType="end"/>
      </w:r>
      <w:r>
        <w:t xml:space="preserve"> illustrates the important connections and locations necessary to complete the instructions listed below.</w:t>
      </w:r>
    </w:p>
    <w:p w14:paraId="4E95E056" w14:textId="28F039E2" w:rsidR="00E66F69" w:rsidRPr="0099604F" w:rsidRDefault="00A021DF" w:rsidP="00E66F69">
      <w:pPr>
        <w:pStyle w:val="LysParagraaf"/>
        <w:numPr>
          <w:ilvl w:val="0"/>
          <w:numId w:val="6"/>
        </w:numPr>
        <w:rPr>
          <w:rFonts w:cstheme="minorHAnsi"/>
        </w:rPr>
      </w:pPr>
      <w:r>
        <w:t xml:space="preserve">The C13 mains connector on the back of the box requires a 3.15A slow blow fuse. Confirm that the fuse is </w:t>
      </w:r>
      <w:r w:rsidRPr="0099604F">
        <w:rPr>
          <w:rFonts w:cstheme="minorHAnsi"/>
        </w:rPr>
        <w:t>present and intact.</w:t>
      </w:r>
    </w:p>
    <w:p w14:paraId="54DA0839" w14:textId="1C549961" w:rsidR="00A021DF" w:rsidRPr="0099604F" w:rsidRDefault="0099604F" w:rsidP="0099604F">
      <w:pPr>
        <w:pStyle w:val="LysParagraaf"/>
        <w:numPr>
          <w:ilvl w:val="0"/>
          <w:numId w:val="6"/>
        </w:numPr>
        <w:rPr>
          <w:rFonts w:cstheme="minorHAnsi"/>
        </w:rPr>
      </w:pPr>
      <w:r w:rsidRPr="0099604F">
        <w:rPr>
          <w:rFonts w:cstheme="minorHAnsi"/>
        </w:rPr>
        <w:t>Connect the AC mains power cord to the 50 V Power Supply Unit and switch it on</w:t>
      </w:r>
      <w:r w:rsidR="00A021DF" w:rsidRPr="0099604F">
        <w:rPr>
          <w:rFonts w:cstheme="minorHAnsi"/>
        </w:rPr>
        <w:t>.</w:t>
      </w:r>
    </w:p>
    <w:p w14:paraId="37E2F81F" w14:textId="77777777" w:rsidR="003758E3" w:rsidRPr="003758E3" w:rsidRDefault="0099604F" w:rsidP="00E66F69">
      <w:pPr>
        <w:pStyle w:val="LysParagraaf"/>
        <w:numPr>
          <w:ilvl w:val="0"/>
          <w:numId w:val="6"/>
        </w:numPr>
        <w:rPr>
          <w:rFonts w:cstheme="minorHAnsi"/>
        </w:rPr>
      </w:pPr>
      <w:r w:rsidRPr="0099604F">
        <w:rPr>
          <w:rFonts w:cstheme="minorHAnsi"/>
        </w:rPr>
        <w:t>Use a DMM to measure the output voltage of the PSU and confirm that it is 50</w:t>
      </w:r>
      <w:r w:rsidRPr="0099604F">
        <w:rPr>
          <w:rFonts w:eastAsia="LMSans12-Regular-Identity-H" w:cstheme="minorHAnsi"/>
        </w:rPr>
        <w:t>±0.5 V</w:t>
      </w:r>
      <w:r>
        <w:rPr>
          <w:rFonts w:eastAsia="LMSans12-Regular-Identity-H" w:cstheme="minorHAnsi"/>
        </w:rPr>
        <w:t>.</w:t>
      </w:r>
    </w:p>
    <w:p w14:paraId="13342DA4" w14:textId="7B7E507E" w:rsidR="0099604F" w:rsidRPr="0099604F" w:rsidRDefault="0099604F" w:rsidP="00E66F69">
      <w:pPr>
        <w:pStyle w:val="LysParagraaf"/>
        <w:numPr>
          <w:ilvl w:val="0"/>
          <w:numId w:val="6"/>
        </w:numPr>
        <w:rPr>
          <w:rFonts w:cstheme="minorHAnsi"/>
        </w:rPr>
      </w:pPr>
      <w:r>
        <w:rPr>
          <w:rFonts w:eastAsia="LMSans12-Regular-Identity-H" w:cstheme="minorHAnsi"/>
        </w:rPr>
        <w:t>If the voltage is out of range, use a small screwdriver to adjust the small potentiometer (</w:t>
      </w:r>
      <w:proofErr w:type="spellStart"/>
      <w:r>
        <w:rPr>
          <w:rFonts w:eastAsia="LMSans12-Regular-Identity-H" w:cstheme="minorHAnsi"/>
        </w:rPr>
        <w:t>Vadj</w:t>
      </w:r>
      <w:proofErr w:type="spellEnd"/>
      <w:r>
        <w:rPr>
          <w:rFonts w:eastAsia="LMSans12-Regular-Identity-H" w:cstheme="minorHAnsi"/>
        </w:rPr>
        <w:t>) on the back of the PSU itself.</w:t>
      </w:r>
    </w:p>
    <w:p w14:paraId="268DE44A" w14:textId="524469D2" w:rsidR="003758E3" w:rsidRPr="003758E3" w:rsidRDefault="0099604F" w:rsidP="003758E3">
      <w:pPr>
        <w:pStyle w:val="LysParagraaf"/>
        <w:numPr>
          <w:ilvl w:val="0"/>
          <w:numId w:val="6"/>
        </w:numPr>
        <w:rPr>
          <w:rFonts w:cstheme="minorHAnsi"/>
        </w:rPr>
      </w:pPr>
      <w:r w:rsidRPr="003758E3">
        <w:rPr>
          <w:rFonts w:eastAsia="LMSans12-Regular-Identity-H" w:cstheme="minorHAnsi"/>
        </w:rPr>
        <w:t>Power Down</w:t>
      </w:r>
      <w:r w:rsidR="003758E3" w:rsidRPr="003758E3">
        <w:rPr>
          <w:rFonts w:eastAsia="LMSans12-Regular-Identity-H" w:cstheme="minorHAnsi"/>
        </w:rPr>
        <w:t>.</w:t>
      </w:r>
    </w:p>
    <w:p w14:paraId="68050BEA" w14:textId="7F046A92" w:rsidR="003758E3" w:rsidRDefault="0017110A" w:rsidP="003758E3">
      <w:pPr>
        <w:keepNext/>
        <w:jc w:val="center"/>
      </w:pPr>
      <w:r w:rsidRPr="00FF0B2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772EF" wp14:editId="27EBA355">
                <wp:simplePos x="0" y="0"/>
                <wp:positionH relativeFrom="column">
                  <wp:posOffset>3889612</wp:posOffset>
                </wp:positionH>
                <wp:positionV relativeFrom="paragraph">
                  <wp:posOffset>1104957</wp:posOffset>
                </wp:positionV>
                <wp:extent cx="272586" cy="293427"/>
                <wp:effectExtent l="0" t="0" r="0" b="0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86" cy="293427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61961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D5E8" id="Multiply 20" o:spid="_x0000_s1026" style="position:absolute;margin-left:306.25pt;margin-top:87pt;width:21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586,29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" path="m41983,92292l88954,48656r47339,50958l183632,48656r46971,43636l180047,146714r50556,54421l183632,244771,136293,193813,88954,244771,41983,201135,92539,146714,41983,92292xe" fillcolor="red" strokecolor="black [3200]" strokeweight="1pt">
                <v:fill opacity="40606f"/>
                <v:stroke joinstyle="miter"/>
                <v:path arrowok="t" o:connecttype="custom" o:connectlocs="41983,92292;88954,48656;136293,99614;183632,48656;230603,92292;180047,146714;230603,201135;183632,244771;136293,193813;88954,244771;41983,201135;92539,146714;41983,92292" o:connectangles="0,0,0,0,0,0,0,0,0,0,0,0,0"/>
              </v:shape>
            </w:pict>
          </mc:Fallback>
        </mc:AlternateContent>
      </w:r>
      <w:r w:rsidR="003758E3">
        <w:rPr>
          <w:noProof/>
        </w:rPr>
        <w:drawing>
          <wp:inline distT="0" distB="0" distL="0" distR="0" wp14:anchorId="79CE7A69" wp14:editId="025E7B2D">
            <wp:extent cx="5040000" cy="3787200"/>
            <wp:effectExtent l="0" t="0" r="8255" b="3810"/>
            <wp:docPr id="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2391F" w14:textId="59310D68" w:rsidR="003758E3" w:rsidRPr="003758E3" w:rsidRDefault="003758E3" w:rsidP="003758E3">
      <w:pPr>
        <w:pStyle w:val="Byskrif"/>
        <w:jc w:val="center"/>
        <w:rPr>
          <w:rFonts w:cstheme="minorHAnsi"/>
        </w:rPr>
      </w:pPr>
      <w:bookmarkStart w:id="2" w:name="_Ref9573422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. Transceiver box connections for testing of 50 V PSU.</w:t>
      </w:r>
    </w:p>
    <w:p w14:paraId="26DDD881" w14:textId="7604D6E3" w:rsidR="00FF0B23" w:rsidRPr="00FF0B23" w:rsidRDefault="00FF0B23" w:rsidP="005E28D0">
      <w:pPr>
        <w:pStyle w:val="Opskrif1"/>
        <w:numPr>
          <w:ilvl w:val="0"/>
          <w:numId w:val="3"/>
        </w:numPr>
        <w:spacing w:before="120" w:after="120" w:line="276" w:lineRule="auto"/>
        <w:rPr>
          <w:rFonts w:cstheme="majorHAnsi"/>
        </w:rPr>
      </w:pPr>
      <w:bookmarkStart w:id="3" w:name="_Toc95734566"/>
      <w:r w:rsidRPr="00FF0B23">
        <w:rPr>
          <w:rFonts w:cstheme="majorHAnsi"/>
        </w:rPr>
        <w:t>Conclusion</w:t>
      </w:r>
      <w:bookmarkEnd w:id="3"/>
    </w:p>
    <w:p w14:paraId="1069F250" w14:textId="3189656A" w:rsidR="00FF0B23" w:rsidRPr="00FF0B23" w:rsidRDefault="00FF0B23" w:rsidP="005E28D0">
      <w:pPr>
        <w:spacing w:before="120" w:after="120" w:line="276" w:lineRule="auto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3758E3">
        <w:t xml:space="preserve">testing the 50 V Power Supply Unit of a </w:t>
      </w:r>
      <w:proofErr w:type="spellStart"/>
      <w:r w:rsidR="00CB0967">
        <w:t>SuperDARN</w:t>
      </w:r>
      <w:proofErr w:type="spellEnd"/>
      <w:r w:rsidR="00CB0967">
        <w:t xml:space="preserve"> </w:t>
      </w:r>
      <w:r w:rsidR="003758E3">
        <w:t>t</w:t>
      </w:r>
      <w:r w:rsidR="00CB0967">
        <w:t xml:space="preserve">ransceiver </w:t>
      </w:r>
      <w:r w:rsidR="003758E3">
        <w:t>b</w:t>
      </w:r>
      <w:r w:rsidR="00CB0967">
        <w:t>o</w:t>
      </w:r>
      <w:r w:rsidR="003758E3">
        <w:t>x</w:t>
      </w:r>
      <w:r w:rsidR="00CB0967">
        <w:t>.</w:t>
      </w:r>
      <w:r w:rsidR="005E28D0">
        <w:t xml:space="preserve"> The next step in the</w:t>
      </w:r>
      <w:r w:rsidR="003758E3">
        <w:t xml:space="preserve"> procedure for Servicing a </w:t>
      </w:r>
      <w:proofErr w:type="spellStart"/>
      <w:r w:rsidR="003758E3">
        <w:t>SuperDARN</w:t>
      </w:r>
      <w:proofErr w:type="spellEnd"/>
      <w:r w:rsidR="003758E3">
        <w:t xml:space="preserve"> Transceiver</w:t>
      </w:r>
      <w:r w:rsidR="005E28D0">
        <w:t xml:space="preserve"> is to test the </w:t>
      </w:r>
      <w:r w:rsidR="003758E3">
        <w:t>DC Supply Board</w:t>
      </w:r>
      <w:r w:rsidR="005E28D0">
        <w:t>.</w:t>
      </w:r>
      <w:r w:rsidR="0017110A" w:rsidRPr="0017110A">
        <w:rPr>
          <w:rFonts w:cstheme="minorHAnsi"/>
          <w:noProof/>
        </w:rPr>
        <w:t xml:space="preserve"> 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26800"/>
    <w:rsid w:val="00033466"/>
    <w:rsid w:val="000607E7"/>
    <w:rsid w:val="00081FBF"/>
    <w:rsid w:val="000A6194"/>
    <w:rsid w:val="000B4CD2"/>
    <w:rsid w:val="00135AC9"/>
    <w:rsid w:val="0017110A"/>
    <w:rsid w:val="00184D29"/>
    <w:rsid w:val="00252DAD"/>
    <w:rsid w:val="0028231C"/>
    <w:rsid w:val="00333872"/>
    <w:rsid w:val="00337FF9"/>
    <w:rsid w:val="003758E3"/>
    <w:rsid w:val="00383D6F"/>
    <w:rsid w:val="003A6BCB"/>
    <w:rsid w:val="0041561F"/>
    <w:rsid w:val="00452DC0"/>
    <w:rsid w:val="00480EAA"/>
    <w:rsid w:val="00564EE1"/>
    <w:rsid w:val="0059608E"/>
    <w:rsid w:val="005B0466"/>
    <w:rsid w:val="005E28D0"/>
    <w:rsid w:val="00776CE9"/>
    <w:rsid w:val="007D06A0"/>
    <w:rsid w:val="00811DF3"/>
    <w:rsid w:val="008177EF"/>
    <w:rsid w:val="008278DB"/>
    <w:rsid w:val="008B0A66"/>
    <w:rsid w:val="008F5595"/>
    <w:rsid w:val="00925ED1"/>
    <w:rsid w:val="009721F9"/>
    <w:rsid w:val="0099604F"/>
    <w:rsid w:val="00A021DF"/>
    <w:rsid w:val="00A654B8"/>
    <w:rsid w:val="00C85677"/>
    <w:rsid w:val="00CB0967"/>
    <w:rsid w:val="00D46924"/>
    <w:rsid w:val="00DE4B25"/>
    <w:rsid w:val="00E57C9F"/>
    <w:rsid w:val="00E66F69"/>
    <w:rsid w:val="00F3358D"/>
    <w:rsid w:val="00F47DF3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28</cp:revision>
  <dcterms:created xsi:type="dcterms:W3CDTF">2022-02-14T07:00:00Z</dcterms:created>
  <dcterms:modified xsi:type="dcterms:W3CDTF">2022-02-14T10:43:00Z</dcterms:modified>
</cp:coreProperties>
</file>