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E44ED" w14:textId="77777777" w:rsidR="000C6FC4" w:rsidRPr="00373D6A" w:rsidRDefault="000C6FC4" w:rsidP="000C6FC4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373D6A">
        <w:rPr>
          <w:rFonts w:ascii="Times New Roman" w:hAnsi="Times New Roman" w:cs="Times New Roman"/>
          <w:b/>
        </w:rPr>
        <w:t>BLAW 201 Topics</w:t>
      </w:r>
    </w:p>
    <w:p w14:paraId="31873574" w14:textId="77777777" w:rsidR="000C6FC4" w:rsidRPr="00373D6A" w:rsidRDefault="000C6FC4" w:rsidP="000C6FC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73D6A">
        <w:rPr>
          <w:rFonts w:ascii="Times New Roman" w:hAnsi="Times New Roman" w:cs="Times New Roman"/>
          <w:b/>
        </w:rPr>
        <w:t>Professor Kreider</w:t>
      </w:r>
    </w:p>
    <w:p w14:paraId="2B1A78A3" w14:textId="77777777" w:rsidR="00150F17" w:rsidRDefault="00150F17" w:rsidP="000C6FC4">
      <w:pPr>
        <w:spacing w:after="0"/>
        <w:jc w:val="both"/>
      </w:pPr>
    </w:p>
    <w:p w14:paraId="3192C25C" w14:textId="77777777" w:rsidR="000C6FC4" w:rsidRDefault="000C6FC4" w:rsidP="000C6FC4">
      <w:pPr>
        <w:spacing w:after="0"/>
        <w:jc w:val="both"/>
      </w:pPr>
    </w:p>
    <w:p w14:paraId="6636FF4A" w14:textId="77777777" w:rsidR="003C2B37" w:rsidRPr="0051135B" w:rsidRDefault="00EF47AF" w:rsidP="003C2B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5: Chapter 14</w:t>
      </w:r>
      <w:bookmarkStart w:id="0" w:name="_GoBack"/>
      <w:bookmarkEnd w:id="0"/>
    </w:p>
    <w:p w14:paraId="66EC98BD" w14:textId="77777777" w:rsidR="003C2B37" w:rsidRPr="0051135B" w:rsidRDefault="003C2B37" w:rsidP="003C2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the two requirements for valid consideration</w:t>
      </w:r>
    </w:p>
    <w:p w14:paraId="1DAC8937" w14:textId="77777777" w:rsidR="003C2B37" w:rsidRDefault="003C2B37" w:rsidP="003C2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issues related to adequacy of consideration</w:t>
      </w:r>
    </w:p>
    <w:p w14:paraId="7F18D4CC" w14:textId="77777777" w:rsidR="003C2B37" w:rsidRDefault="003C2B37" w:rsidP="003C2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pre-existing duties</w:t>
      </w:r>
    </w:p>
    <w:p w14:paraId="76A8A3CC" w14:textId="77777777" w:rsidR="003C2B37" w:rsidRPr="0051135B" w:rsidRDefault="003C2B37" w:rsidP="003C2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exceptions to consideration</w:t>
      </w:r>
    </w:p>
    <w:p w14:paraId="3EA0B588" w14:textId="77777777" w:rsidR="003C2B37" w:rsidRDefault="003C2B37" w:rsidP="000C6FC4">
      <w:pPr>
        <w:spacing w:after="0" w:line="240" w:lineRule="auto"/>
        <w:rPr>
          <w:rFonts w:ascii="Times New Roman" w:hAnsi="Times New Roman" w:cs="Times New Roman"/>
          <w:b/>
        </w:rPr>
      </w:pPr>
    </w:p>
    <w:p w14:paraId="3660F5F4" w14:textId="77777777" w:rsidR="003C2B37" w:rsidRDefault="003C2B37" w:rsidP="000C6FC4">
      <w:pPr>
        <w:spacing w:after="0" w:line="240" w:lineRule="auto"/>
        <w:rPr>
          <w:rFonts w:ascii="Times New Roman" w:hAnsi="Times New Roman" w:cs="Times New Roman"/>
          <w:b/>
        </w:rPr>
      </w:pPr>
    </w:p>
    <w:p w14:paraId="40C8596C" w14:textId="77777777" w:rsidR="000C6FC4" w:rsidRPr="00A61BE0" w:rsidRDefault="00EF47AF" w:rsidP="000C6FC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14</w:t>
      </w:r>
      <w:r w:rsidR="000C6FC4" w:rsidRPr="00A61BE0">
        <w:rPr>
          <w:rFonts w:ascii="Times New Roman" w:hAnsi="Times New Roman" w:cs="Times New Roman"/>
          <w:b/>
        </w:rPr>
        <w:t>: Consideration</w:t>
      </w:r>
    </w:p>
    <w:p w14:paraId="611B5E85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</w:p>
    <w:p w14:paraId="72060FCC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Elements</w:t>
      </w:r>
    </w:p>
    <w:p w14:paraId="6D98EC22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Legal detriment on both sides</w:t>
      </w:r>
    </w:p>
    <w:p w14:paraId="1EA7CB44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-doing something the party had no prior legal obligation to do </w:t>
      </w:r>
      <w:r w:rsidRPr="00A61BE0">
        <w:rPr>
          <w:rFonts w:ascii="Times New Roman" w:hAnsi="Times New Roman" w:cs="Times New Roman"/>
          <w:b/>
        </w:rPr>
        <w:t>OR</w:t>
      </w:r>
    </w:p>
    <w:p w14:paraId="262DAD5F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-refraining from something the party had the legal right to do (forbearance)</w:t>
      </w:r>
    </w:p>
    <w:p w14:paraId="4160DBCB" w14:textId="77777777" w:rsidR="000C6FC4" w:rsidRDefault="003C2B37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Bargained </w:t>
      </w:r>
      <w:r w:rsidR="000C6FC4">
        <w:rPr>
          <w:rFonts w:ascii="Times New Roman" w:hAnsi="Times New Roman" w:cs="Times New Roman"/>
        </w:rPr>
        <w:t>for and Exchanged</w:t>
      </w:r>
    </w:p>
    <w:p w14:paraId="3BDCE31F" w14:textId="77777777" w:rsidR="000C6FC4" w:rsidRDefault="000C6FC4" w:rsidP="000C6FC4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parties negotiate for the consideration and exchange one promise for another</w:t>
      </w:r>
    </w:p>
    <w:p w14:paraId="2401F714" w14:textId="77777777" w:rsidR="000C6FC4" w:rsidRDefault="000C6FC4" w:rsidP="000C6FC4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-past consideration and mora</w:t>
      </w:r>
      <w:r w:rsidR="003C2B37">
        <w:rPr>
          <w:rFonts w:ascii="Times New Roman" w:hAnsi="Times New Roman" w:cs="Times New Roman"/>
        </w:rPr>
        <w:t xml:space="preserve">l obligations are not bargained </w:t>
      </w:r>
      <w:r>
        <w:rPr>
          <w:rFonts w:ascii="Times New Roman" w:hAnsi="Times New Roman" w:cs="Times New Roman"/>
        </w:rPr>
        <w:t>for and exchanged</w:t>
      </w:r>
    </w:p>
    <w:p w14:paraId="7A70736F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Adequacy of consideration</w:t>
      </w:r>
    </w:p>
    <w:p w14:paraId="470959DE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-relevant only when proving mistake, fraud, undue influence or duress</w:t>
      </w:r>
    </w:p>
    <w:p w14:paraId="4CC96CE5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Preexisting Duty</w:t>
      </w:r>
    </w:p>
    <w:p w14:paraId="66635F76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 consideration</w:t>
      </w:r>
    </w:p>
    <w:p w14:paraId="0D521CA5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Exists under statute or prior contract</w:t>
      </w:r>
    </w:p>
    <w:p w14:paraId="22219333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Part payment of an overdue debt without new consideration is a preexisting duty</w:t>
      </w:r>
    </w:p>
    <w:p w14:paraId="7D18DA46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-part payment of an overdue debt disputed in good faith is consideration</w:t>
      </w:r>
    </w:p>
    <w:p w14:paraId="3D7AABF6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-paying before the debt is due is consideration</w:t>
      </w:r>
    </w:p>
    <w:p w14:paraId="2623D203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</w:p>
    <w:p w14:paraId="473C882B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Exceptions to the Requirement of Consideration</w:t>
      </w:r>
    </w:p>
    <w:p w14:paraId="7840B39B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Promissory Estoppel</w:t>
      </w:r>
    </w:p>
    <w:p w14:paraId="65374747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Modification of a Sale of Goods Contract (UCC)</w:t>
      </w:r>
    </w:p>
    <w:p w14:paraId="14B6664E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Waiver of the Statute of Limitations</w:t>
      </w:r>
    </w:p>
    <w:p w14:paraId="347F8D50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Model Written Obligations Act (PA)</w:t>
      </w:r>
    </w:p>
    <w:p w14:paraId="1C5CFAC6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-written, signed promise</w:t>
      </w:r>
    </w:p>
    <w:p w14:paraId="360D4710" w14:textId="77777777" w:rsidR="000C6FC4" w:rsidRDefault="000C6FC4" w:rsidP="000C6F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-statement of the intent to be bound</w:t>
      </w:r>
    </w:p>
    <w:p w14:paraId="366BEF14" w14:textId="77777777" w:rsidR="000C6FC4" w:rsidRDefault="000C6FC4" w:rsidP="000C6FC4">
      <w:pPr>
        <w:spacing w:after="0"/>
      </w:pPr>
    </w:p>
    <w:sectPr w:rsidR="000C6FC4" w:rsidSect="0015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6FC4"/>
    <w:rsid w:val="000C6FC4"/>
    <w:rsid w:val="00150F17"/>
    <w:rsid w:val="003C2B37"/>
    <w:rsid w:val="00E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9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6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LeBow College of Business - Drexel University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2010-10-17T19:05:00Z</dcterms:created>
  <dcterms:modified xsi:type="dcterms:W3CDTF">2017-01-08T01:18:00Z</dcterms:modified>
</cp:coreProperties>
</file>