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#35</w:t>
      </w:r>
    </w:p>
    <w:p>
      <w:pPr>
        <w:jc w:val="center"/>
      </w:pPr>
      <w:r>
        <w:t>Date: 2025-09-01 12:46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محمود رمضان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60.00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بالسمن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60.00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80.00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