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 w:eastAsiaTheme="majorEastAsia"/>
          <w:color w:val="auto"/>
          <w:sz w:val="36"/>
          <w:szCs w:val="36"/>
          <w:lang w:val="en-US" w:eastAsia="zh-CN"/>
        </w:rPr>
      </w:pPr>
      <w:bookmarkStart w:id="0" w:name="研报复现1十三基于统计语言模型slm）的择时交易研究"/>
      <w:r>
        <w:rPr>
          <w:color w:val="auto"/>
          <w:sz w:val="36"/>
          <w:szCs w:val="36"/>
        </w:rPr>
        <w:t>研报复现1：</w:t>
      </w:r>
      <w:bookmarkStart w:id="21" w:name="_GoBack"/>
      <w:bookmarkEnd w:id="21"/>
    </w:p>
    <w:p>
      <w:pPr>
        <w:pStyle w:val="4"/>
        <w:rPr>
          <w:color w:val="auto"/>
          <w:sz w:val="36"/>
          <w:szCs w:val="36"/>
        </w:rPr>
      </w:pPr>
      <w:r>
        <w:rPr>
          <w:color w:val="auto"/>
          <w:sz w:val="36"/>
          <w:szCs w:val="36"/>
        </w:rPr>
        <w:t>十三：基于统计语言模型（SLM）的择时交易研究</w:t>
      </w:r>
    </w:p>
    <w:p>
      <w:pPr>
        <w:pStyle w:val="5"/>
        <w:rPr>
          <w:color w:val="auto"/>
          <w:sz w:val="32"/>
          <w:szCs w:val="32"/>
        </w:rPr>
      </w:pPr>
      <w:bookmarkStart w:id="1" w:name="一策略概述"/>
      <w:r>
        <w:rPr>
          <w:color w:val="auto"/>
          <w:sz w:val="32"/>
          <w:szCs w:val="32"/>
        </w:rPr>
        <w:t>一、策略概述</w:t>
      </w:r>
    </w:p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</w:pPr>
      <w:bookmarkStart w:id="2" w:name="X0207f4e4f9837b0865443a1c66b1b51795756d5"/>
      <w:r>
        <w:rPr>
          <w:rFonts w:asciiTheme="minorHAnsi" w:hAnsiTheme="minorHAnsi" w:eastAsiaTheme="minorHAnsi" w:cstheme="minorBidi"/>
          <w:b/>
          <w:bCs/>
          <w:i w:val="0"/>
          <w:color w:val="auto"/>
          <w:sz w:val="30"/>
          <w:szCs w:val="30"/>
          <w:lang w:val="en-US" w:eastAsia="en-US" w:bidi="ar-SA"/>
        </w:rPr>
        <w:t>1.N元模型</w:t>
      </w:r>
    </w:p>
    <w:p>
      <w:pPr>
        <w:pStyle w:val="7"/>
        <w:rPr>
          <w:rFonts w:asciiTheme="minorHAnsi" w:hAnsiTheme="minorHAnsi" w:eastAsiaTheme="minorHAnsi" w:cstheme="minorBidi"/>
          <w:b/>
          <w:bCs/>
          <w:i w:val="0"/>
          <w:color w:val="auto"/>
          <w:sz w:val="28"/>
          <w:szCs w:val="28"/>
          <w:lang w:val="en-US" w:eastAsia="en-US" w:bidi="ar-SA"/>
        </w:rPr>
      </w:pPr>
      <w:bookmarkStart w:id="3" w:name="X77407da2ec5b59a322e2edf24588dc3775b8cb6"/>
      <w:r>
        <w:rPr>
          <w:rFonts w:asciiTheme="minorHAnsi" w:hAnsiTheme="minorHAnsi" w:eastAsiaTheme="minorHAnsi" w:cstheme="minorBidi"/>
          <w:b/>
          <w:bCs/>
          <w:i w:val="0"/>
          <w:color w:val="auto"/>
          <w:sz w:val="28"/>
          <w:szCs w:val="28"/>
          <w:lang w:val="en-US" w:eastAsia="en-US" w:bidi="ar-SA"/>
        </w:rPr>
        <w:t>1.1 语言建模</w:t>
      </w:r>
    </w:p>
    <w:p>
      <w:pPr>
        <w:pStyle w:val="24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在给定自然语言L时，利用给定的语言样本估计P(s)的过程被称为语言建模。故可根据语料库中的样本估计出概率分布P，例如对给定句子S=w1w2...wl，计算P(s)公式如下：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m:oMathPara>
        <m:oMath>
          <m:r>
            <m:rPr/>
            <m:t>P</m:t>
          </m:r>
          <m:d>
            <m:dPr>
              <m:sepChr m:val=""/>
            </m:dPr>
            <m:e>
              <m:r>
                <m:rPr/>
                <m:t>s</m:t>
              </m:r>
            </m:e>
          </m:d>
          <m:r>
            <m:rPr>
              <m:sty m:val="p"/>
            </m:rPr>
            <m:t>=</m:t>
          </m:r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</m:e>
          </m:d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</m:e>
          </m:d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3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</m:e>
          </m:d>
          <m:r>
            <m:rPr>
              <m:sty m:val="p"/>
            </m:rPr>
            <m:t>…</m:t>
          </m:r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l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l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∏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l</m:t>
              </m:r>
            </m:sup>
            <m:e>
              <m:r>
                <m:rPr/>
                <m:t>P</m:t>
              </m:r>
            </m:e>
          </m:nary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</m:oMath>
      </m:oMathPara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</w:pPr>
      <m:oMath>
        <m:r>
          <m:rPr/>
          <m:t>P</m:t>
        </m:r>
        <m:d>
          <m:dPr>
            <m:sepChr m:val=""/>
          </m:dPr>
          <m:e>
            <m:r>
              <m:rPr/>
              <m:t>w1</m:t>
            </m:r>
          </m:e>
        </m:d>
      </m:oMath>
      <w:r>
        <w:t>即为第一个词出现的概率，</w:t>
      </w:r>
      <m:oMath>
        <m:r>
          <m:rPr/>
          <m:t>P</m:t>
        </m:r>
        <m:d>
          <m:dPr>
            <m:sepChr m:val=""/>
          </m:dPr>
          <m:e>
            <m:r>
              <m:rPr/>
              <m:t>w2</m:t>
            </m:r>
            <m:r>
              <m:rPr>
                <m:sty m:val="p"/>
              </m:rPr>
              <m:t>|</m:t>
            </m:r>
            <m:r>
              <m:rPr/>
              <m:t>w1</m:t>
            </m:r>
          </m:e>
        </m:d>
      </m:oMath>
      <w:r>
        <w:t>为条件概率（已知第一个词w1的前提下w2出现的概率），依次计算可以获得概率。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但是，当词的数量逐渐增多，估算概率更为困难，故引入马尔科夫假设，即一个词的出现的概率仅仅与前n-1个词出现的概率相关，即有：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m:oMathPara>
        <m:oMath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</m:oMath>
      </m:oMathPara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例如：若仅与前一日有关，则概率如下：</w:t>
      </w:r>
    </w:p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m:oMathPara>
        <m:oMath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>
                  <m:sty m:val="p"/>
                </m:rPr>
                <m:t>,…,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/>
            <m:t>P</m:t>
          </m:r>
          <m:d>
            <m:dPr>
              <m:sepChr m:val=""/>
            </m:dPr>
            <m:e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sSubPr/>
                <m:e>
                  <m:r>
                    <m:rPr/>
                    <m:t>w</m:t>
                  </m:r>
                </m:e>
                <m:sub>
                  <m:r>
                    <m:rPr/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rPr/>
                    <m:t>1</m:t>
                  </m:r>
                </m:sub>
              </m:sSub>
            </m:e>
          </m:d>
        </m:oMath>
      </m:oMathPara>
    </w:p>
    <w:bookmarkEnd w:id="3"/>
    <w:p>
      <w:pPr>
        <w:pStyle w:val="5"/>
        <w:rPr>
          <w:color w:val="auto"/>
          <w:sz w:val="28"/>
          <w:szCs w:val="28"/>
        </w:rPr>
      </w:pPr>
      <w:bookmarkStart w:id="4" w:name="X9aa67f20e24b735ee8bdec21c206c49f0c5a1cd"/>
      <w:r>
        <w:rPr>
          <w:color w:val="auto"/>
          <w:sz w:val="28"/>
          <w:szCs w:val="28"/>
        </w:rPr>
        <w:t>1.2 择时交易模型</w:t>
      </w:r>
    </w:p>
    <w:p>
      <w:pPr>
        <w:pStyle w:val="24"/>
        <w:ind w:firstLine="480" w:firstLineChars="200"/>
      </w:pPr>
      <w:r>
        <w:t xml:space="preserve">首先将指数收盘价序列 </w:t>
      </w:r>
      <m:oMath>
        <m:sSub>
          <m:sSubPr/>
          <m:e>
            <m:r>
              <m:rPr/>
              <m:t>p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p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,...,</m:t>
        </m:r>
        <m:sSub>
          <m:sSubPr/>
          <m:e>
            <m:r>
              <m:rPr/>
              <m:t>p</m:t>
            </m:r>
          </m:e>
          <m:sub>
            <m:r>
              <m:rPr/>
              <m:t>n</m:t>
            </m:r>
          </m:sub>
        </m:sSub>
      </m:oMath>
      <w:r>
        <w:t xml:space="preserve"> 转换成符号序列 </w:t>
      </w:r>
      <m:oMath>
        <m:sSub>
          <m:sSubPr/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,...,</m:t>
        </m:r>
        <m:sSub>
          <m:sSubPr/>
          <m:e>
            <m:r>
              <m:rPr/>
              <m:t>s</m:t>
            </m:r>
          </m:e>
          <m:sub>
            <m:r>
              <m:rPr/>
              <m:t>n</m:t>
            </m:r>
          </m:sub>
        </m:sSub>
      </m:oMath>
      <w:r>
        <w:t xml:space="preserve"> ，转换规律如下：</w:t>
      </w:r>
    </w:p>
    <w:p>
      <w:pPr>
        <w:pStyle w:val="3"/>
        <w:ind w:firstLine="480" w:firstLineChars="200"/>
      </w:pPr>
      <w:r>
        <w:t>若</w:t>
      </w:r>
      <m:oMath>
        <m:sSub>
          <m:sSubPr/>
          <m:e>
            <m:r>
              <m:rPr/>
              <m:t>p</m:t>
            </m:r>
          </m:e>
          <m:sub>
            <m:r>
              <m:rPr/>
              <m:t>i</m:t>
            </m:r>
          </m:sub>
        </m:sSub>
        <m:r>
          <m:rPr>
            <m:sty m:val="p"/>
          </m:rPr>
          <m:t>&lt;</m:t>
        </m:r>
        <m:sSub>
          <m:sSubPr/>
          <m:e>
            <m:r>
              <m:rPr/>
              <m:t>p</m:t>
            </m:r>
          </m:e>
          <m:sub>
            <m:r>
              <m:rPr/>
              <m:t>i</m:t>
            </m:r>
            <m:r>
              <m:rPr>
                <m:sty m:val="p"/>
              </m:rPr>
              <m:t>−</m:t>
            </m:r>
            <m:r>
              <m:rPr/>
              <m:t>1</m:t>
            </m:r>
          </m:sub>
        </m:sSub>
      </m:oMath>
      <w:r>
        <w:t xml:space="preserve"> 则 </w:t>
      </w:r>
      <m:oMath>
        <m:sSub>
          <m:sSubPr/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t xml:space="preserve"> ，否则 </w:t>
      </w:r>
      <m:oMath>
        <m:sSub>
          <m:sSubPr/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=</m:t>
        </m:r>
        <m:r>
          <m:rPr/>
          <m:t>1</m:t>
        </m:r>
      </m:oMath>
      <w:r>
        <w:t xml:space="preserve"> 。（这里设置成01串方便后序二进制算出数组中存放元素的位置）</w:t>
      </w:r>
    </w:p>
    <w:p>
      <w:pPr>
        <w:pStyle w:val="3"/>
        <w:ind w:firstLine="480" w:firstLineChars="200"/>
      </w:pPr>
      <w:r>
        <w:t>择时策略只需要判断下一个交易日的涨跌状况，故需要判断下一个交易日的出现涨跌的两个概率，举例如下：</w:t>
      </w:r>
    </w:p>
    <w:p>
      <w:pPr>
        <w:pStyle w:val="3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设前五日涨跌情况为：涨涨涨跌跌，转换成01串为：11100，判断第六日的涨跌情况只需要比较111000和111001出现的概率。</w:t>
      </w:r>
    </w:p>
    <w:p>
      <w:pPr>
        <w:pStyle w:val="3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根据大数定律，频率近似为概率，故只需要统计语料库111000和111001分别出现的次数，若111000出现的次数多于111001出现的次数，则第六日涨跌情况为0，即会跌。</w:t>
      </w:r>
    </w:p>
    <w:p>
      <w:pPr>
        <w:pStyle w:val="3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本文选取沪深300指数期货当月合约2014年4月16日到2016年12月31日的历史日线数据为样本内初始语料库，用来训练模型。同时不断扩充历史数据，依次扩充语料库。</w:t>
      </w:r>
    </w:p>
    <w:bookmarkEnd w:id="4"/>
    <w:p>
      <w:pPr>
        <w:pStyle w:val="7"/>
        <w:rPr>
          <w:b/>
          <w:bCs/>
          <w:color w:val="auto"/>
          <w:sz w:val="28"/>
          <w:szCs w:val="28"/>
        </w:rPr>
      </w:pPr>
      <w:bookmarkStart w:id="5" w:name="X296ffb1e03c9fd7e484bd92acb92cc7c794ecae"/>
      <w:r>
        <w:rPr>
          <w:b/>
          <w:bCs/>
          <w:color w:val="auto"/>
          <w:sz w:val="28"/>
          <w:szCs w:val="28"/>
        </w:rPr>
        <w:t>1.3 交易策略</w:t>
      </w:r>
    </w:p>
    <w:p>
      <w:pPr>
        <w:pStyle w:val="24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在交易日15:00时进行下一个交易日的涨跌预测，在股指期货市场进行相应的头寸开仓，如果下一个交易日判断方向与当前持仓方向相同，那么不进行操作，如果持仓方向不同，那么先进行平仓，再开仓。</w:t>
      </w:r>
    </w:p>
    <w:p>
      <w:pPr>
        <w:pStyle w:val="8"/>
      </w:pPr>
      <w:bookmarkStart w:id="6" w:name="图1判断交易流程图"/>
      <w:r>
        <w:t>图1：判断交易流程图</w:t>
      </w:r>
    </w:p>
    <w:p>
      <w:pPr>
        <w:pStyle w:val="35"/>
      </w:pPr>
      <w:r>
        <w:drawing>
          <wp:inline distT="0" distB="0" distL="114300" distR="114300">
            <wp:extent cx="5334000" cy="3395980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610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sz w:val="28"/>
          <w:szCs w:val="28"/>
        </w:rPr>
      </w:pPr>
    </w:p>
    <w:bookmarkEnd w:id="5"/>
    <w:bookmarkEnd w:id="6"/>
    <w:p>
      <w:pPr>
        <w:pStyle w:val="7"/>
        <w:rPr>
          <w:b/>
          <w:bCs/>
          <w:color w:val="auto"/>
          <w:sz w:val="28"/>
          <w:szCs w:val="28"/>
        </w:rPr>
      </w:pPr>
      <w:bookmarkStart w:id="7" w:name="Xed91c4cd04a653274c97bfc7b5811bdb9275caf"/>
      <w:r>
        <w:rPr>
          <w:b/>
          <w:bCs/>
          <w:color w:val="auto"/>
          <w:sz w:val="28"/>
          <w:szCs w:val="28"/>
        </w:rPr>
        <w:t>1.4 模型阶数</w:t>
      </w:r>
    </w:p>
    <w:p>
      <w:pPr>
        <w:pStyle w:val="24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在进行下一交易判断时，考虑下一交易日受前几个交易日影响对模型的结果产生重要影响，故选择3-10个交易日分别进行样本内计算，确定原则以2016年1月1日到2018年1月1日的收益率最大化。</w:t>
      </w:r>
    </w:p>
    <w:p>
      <w:pPr>
        <w:pStyle w:val="8"/>
      </w:pPr>
      <w:bookmarkStart w:id="8" w:name="表13-10个交易日下的收益"/>
    </w:p>
    <w:p>
      <w:pPr>
        <w:pStyle w:val="8"/>
      </w:pPr>
      <w:r>
        <w:t>表1：3-10个交易日下的收益</w:t>
      </w:r>
    </w:p>
    <w:tbl>
      <w:tblPr>
        <w:tblStyle w:val="29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8"/>
        <w:gridCol w:w="1090"/>
        <w:gridCol w:w="958"/>
        <w:gridCol w:w="1011"/>
        <w:gridCol w:w="878"/>
      </w:tblGrid>
      <w:tr>
        <w:trPr>
          <w:tblHeader/>
        </w:trPr>
        <w:tc>
          <w:p>
            <w:pPr>
              <w:pStyle w:val="25"/>
              <w:jc w:val="left"/>
            </w:pPr>
            <w:r>
              <w:t>阶数</w:t>
            </w:r>
          </w:p>
        </w:tc>
        <w:tc>
          <w:p>
            <w:pPr>
              <w:pStyle w:val="25"/>
              <w:jc w:val="left"/>
            </w:pPr>
            <w:r>
              <w:rPr>
                <w:b/>
                <w:bCs/>
              </w:rPr>
              <w:t>3</w:t>
            </w:r>
          </w:p>
        </w:tc>
        <w:tc>
          <w:p>
            <w:pPr>
              <w:pStyle w:val="25"/>
              <w:jc w:val="left"/>
            </w:pPr>
            <w:r>
              <w:t>4</w:t>
            </w:r>
          </w:p>
        </w:tc>
        <w:tc>
          <w:p>
            <w:pPr>
              <w:pStyle w:val="25"/>
              <w:jc w:val="left"/>
            </w:pPr>
            <w:r>
              <w:t>5</w:t>
            </w:r>
          </w:p>
        </w:tc>
        <w:tc>
          <w:p>
            <w:pPr>
              <w:pStyle w:val="25"/>
              <w:jc w:val="left"/>
            </w:pPr>
            <w: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rPr>
                <w:b/>
                <w:bCs/>
              </w:rPr>
              <w:t>收益</w:t>
            </w:r>
          </w:p>
        </w:tc>
        <w:tc>
          <w:p>
            <w:pPr>
              <w:pStyle w:val="25"/>
              <w:jc w:val="left"/>
            </w:pPr>
            <w:r>
              <w:t>-14.71%</w:t>
            </w:r>
          </w:p>
        </w:tc>
        <w:tc>
          <w:p>
            <w:pPr>
              <w:pStyle w:val="25"/>
              <w:jc w:val="left"/>
            </w:pPr>
            <w:r>
              <w:t>-8.82%</w:t>
            </w:r>
          </w:p>
        </w:tc>
        <w:tc>
          <w:p>
            <w:pPr>
              <w:pStyle w:val="25"/>
              <w:jc w:val="left"/>
            </w:pPr>
            <w:r>
              <w:t>-6.33%</w:t>
            </w:r>
          </w:p>
        </w:tc>
        <w:tc>
          <w:p>
            <w:pPr>
              <w:pStyle w:val="25"/>
              <w:jc w:val="left"/>
            </w:pPr>
            <w:r>
              <w:t>1.24%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rPr>
                <w:b/>
                <w:bCs/>
              </w:rPr>
              <w:t>阶数</w:t>
            </w:r>
          </w:p>
        </w:tc>
        <w:tc>
          <w:p>
            <w:pPr>
              <w:pStyle w:val="25"/>
              <w:jc w:val="left"/>
            </w:pPr>
            <w:r>
              <w:rPr>
                <w:b/>
                <w:bCs/>
              </w:rPr>
              <w:t>7</w:t>
            </w:r>
          </w:p>
        </w:tc>
        <w:tc>
          <w:p>
            <w:pPr>
              <w:pStyle w:val="25"/>
              <w:jc w:val="left"/>
            </w:pPr>
            <w:r>
              <w:rPr>
                <w:b/>
                <w:bCs/>
              </w:rPr>
              <w:t>8</w:t>
            </w:r>
          </w:p>
        </w:tc>
        <w:tc>
          <w:p>
            <w:pPr>
              <w:pStyle w:val="25"/>
              <w:jc w:val="left"/>
            </w:pPr>
            <w:r>
              <w:rPr>
                <w:b/>
                <w:bCs/>
              </w:rPr>
              <w:t>9</w:t>
            </w:r>
          </w:p>
        </w:tc>
        <w:tc>
          <w:p>
            <w:pPr>
              <w:pStyle w:val="25"/>
              <w:jc w:val="left"/>
            </w:pPr>
            <w:r>
              <w:rPr>
                <w:b/>
                <w:bCs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pStyle w:val="25"/>
              <w:jc w:val="left"/>
            </w:pPr>
            <w:r>
              <w:rPr>
                <w:b/>
                <w:bCs/>
              </w:rPr>
              <w:t>收益</w:t>
            </w:r>
          </w:p>
        </w:tc>
        <w:tc>
          <w:p>
            <w:pPr>
              <w:pStyle w:val="25"/>
              <w:jc w:val="left"/>
            </w:pPr>
            <w:r>
              <w:t>-0.19%</w:t>
            </w:r>
          </w:p>
        </w:tc>
        <w:tc>
          <w:p>
            <w:pPr>
              <w:pStyle w:val="25"/>
              <w:jc w:val="left"/>
            </w:pPr>
            <w:r>
              <w:t>-2.76%</w:t>
            </w:r>
          </w:p>
        </w:tc>
        <w:tc>
          <w:p>
            <w:pPr>
              <w:pStyle w:val="25"/>
              <w:jc w:val="left"/>
            </w:pPr>
            <w:r>
              <w:t>21.58%</w:t>
            </w:r>
          </w:p>
        </w:tc>
        <w:tc>
          <w:p>
            <w:pPr>
              <w:pStyle w:val="25"/>
              <w:jc w:val="left"/>
            </w:pPr>
            <w:r>
              <w:t>7.29%</w:t>
            </w:r>
          </w:p>
        </w:tc>
      </w:tr>
      <w:bookmarkEnd w:id="8"/>
    </w:tbl>
    <w:p>
      <w:pPr>
        <w:pStyle w:val="8"/>
      </w:pPr>
      <w:bookmarkStart w:id="9" w:name="图23-10个交易日下的收益"/>
      <w:r>
        <w:t>图2：3-10个交易日下的收益</w:t>
      </w:r>
    </w:p>
    <w:p>
      <w:pPr>
        <w:pStyle w:val="35"/>
      </w:pPr>
      <w:r>
        <w:drawing>
          <wp:inline distT="0" distB="0" distL="114300" distR="114300">
            <wp:extent cx="5334000" cy="3454400"/>
            <wp:effectExtent l="0" t="0" r="0" b="0"/>
            <wp:docPr id="29" name="Picture" descr="image-20220510181047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-202205101810479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548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 xml:space="preserve"> </w:t>
      </w:r>
      <w:r>
        <w:rPr>
          <w:rFonts w:hint="eastAsia" w:eastAsia="宋体"/>
          <w:lang w:val="en-US" w:eastAsia="zh-CN"/>
        </w:rPr>
        <w:t xml:space="preserve">   </w:t>
      </w:r>
      <w:r>
        <w:t>故根据上述原则，选择阶数为9，即考虑9个交易日进行下一交易日的涨跌情况判断。</w:t>
      </w:r>
    </w:p>
    <w:bookmarkEnd w:id="9"/>
    <w:p>
      <w:pPr>
        <w:pStyle w:val="8"/>
      </w:pPr>
      <w:bookmarkStart w:id="10" w:name="图39阶模型下的样本出现次数"/>
      <w:r>
        <w:t>图3：9阶模型下的样本出现次数</w:t>
      </w:r>
    </w:p>
    <w:p>
      <w:pPr>
        <w:pStyle w:val="35"/>
      </w:pPr>
      <w:r>
        <w:drawing>
          <wp:inline distT="0" distB="0" distL="114300" distR="114300">
            <wp:extent cx="6233160" cy="1298575"/>
            <wp:effectExtent l="0" t="0" r="0" b="12065"/>
            <wp:docPr id="33" name="Picture" descr="image-20220510181812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-202205101818125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1298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bookmarkEnd w:id="2"/>
    <w:bookmarkEnd w:id="7"/>
    <w:bookmarkEnd w:id="10"/>
    <w:p>
      <w:pPr>
        <w:pStyle w:val="5"/>
        <w:rPr>
          <w:color w:val="auto"/>
          <w:sz w:val="32"/>
          <w:szCs w:val="32"/>
        </w:rPr>
      </w:pPr>
      <w:bookmarkStart w:id="11" w:name="二实证分析"/>
      <w:r>
        <w:rPr>
          <w:color w:val="auto"/>
          <w:sz w:val="32"/>
          <w:szCs w:val="32"/>
        </w:rPr>
        <w:t>二、实证分析</w:t>
      </w:r>
    </w:p>
    <w:p>
      <w:pPr>
        <w:pStyle w:val="24"/>
        <w:rPr>
          <w:b/>
          <w:bCs/>
          <w:color w:val="auto"/>
          <w:sz w:val="30"/>
          <w:szCs w:val="30"/>
        </w:rPr>
      </w:pPr>
    </w:p>
    <w:p>
      <w:pPr>
        <w:pStyle w:val="24"/>
        <w:rPr>
          <w:b/>
          <w:bCs/>
          <w:color w:val="auto"/>
          <w:sz w:val="30"/>
          <w:szCs w:val="30"/>
        </w:rPr>
      </w:pPr>
      <w:r>
        <w:rPr>
          <w:b/>
          <w:bCs/>
          <w:color w:val="auto"/>
          <w:sz w:val="30"/>
          <w:szCs w:val="30"/>
        </w:rPr>
        <w:t>1.实证说明</w:t>
      </w:r>
    </w:p>
    <w:p>
      <w:pPr>
        <w:pStyle w:val="3"/>
      </w:pPr>
      <w:r>
        <w:t>（1）数据选取，本实证选取沪深300指数期货当月合约2014年4月16日到2016年12月31日的历史日线数据为样本内初始语料库，2017年至2022年4月29日的历史日线数据为测试集。评价指标考察：累计收益，多仓空仓胜率、持有期、最大回撤、年化收益、年华标准差、夏普比率等。</w:t>
      </w:r>
    </w:p>
    <w:p>
      <w:pPr>
        <w:pStyle w:val="3"/>
      </w:pPr>
      <w:r>
        <w:t>（2）交易假设：单边手续费为万分之一。</w:t>
      </w:r>
    </w:p>
    <w:p>
      <w:pPr>
        <w:pStyle w:val="3"/>
      </w:pPr>
      <w:r>
        <w:t>（3）回测结果：</w:t>
      </w:r>
    </w:p>
    <w:p>
      <w:pPr>
        <w:pStyle w:val="3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center"/>
        <w:rPr>
          <w:color w:val="auto"/>
          <w:sz w:val="28"/>
          <w:szCs w:val="28"/>
        </w:rPr>
      </w:pPr>
      <w:r>
        <w:rPr>
          <w:rStyle w:val="70"/>
          <w:color w:val="auto"/>
          <w:sz w:val="24"/>
          <w:szCs w:val="28"/>
        </w:rPr>
        <w:t xml:space="preserve">累计收益       </w:t>
      </w:r>
      <w:r>
        <w:rPr>
          <w:rStyle w:val="44"/>
          <w:color w:val="auto"/>
          <w:sz w:val="24"/>
          <w:szCs w:val="28"/>
        </w:rPr>
        <w:t>87.07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多仓次数          </w:t>
      </w:r>
      <w:r>
        <w:rPr>
          <w:rStyle w:val="42"/>
          <w:color w:val="auto"/>
          <w:sz w:val="24"/>
          <w:szCs w:val="28"/>
        </w:rPr>
        <w:t>317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多仓成功次数        </w:t>
      </w:r>
      <w:r>
        <w:rPr>
          <w:rStyle w:val="42"/>
          <w:color w:val="auto"/>
          <w:sz w:val="24"/>
          <w:szCs w:val="28"/>
        </w:rPr>
        <w:t>173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多仓胜率       </w:t>
      </w:r>
      <w:r>
        <w:rPr>
          <w:rStyle w:val="44"/>
          <w:color w:val="auto"/>
          <w:sz w:val="24"/>
          <w:szCs w:val="28"/>
        </w:rPr>
        <w:t>54.57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多仓平均持有期      </w:t>
      </w:r>
      <w:r>
        <w:rPr>
          <w:rStyle w:val="44"/>
          <w:color w:val="auto"/>
          <w:sz w:val="24"/>
          <w:szCs w:val="28"/>
        </w:rPr>
        <w:t>1.25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空仓次数          </w:t>
      </w:r>
      <w:r>
        <w:rPr>
          <w:rStyle w:val="42"/>
          <w:color w:val="auto"/>
          <w:sz w:val="24"/>
          <w:szCs w:val="28"/>
        </w:rPr>
        <w:t>318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空仓成功次数        </w:t>
      </w:r>
      <w:r>
        <w:rPr>
          <w:rStyle w:val="42"/>
          <w:color w:val="auto"/>
          <w:sz w:val="24"/>
          <w:szCs w:val="28"/>
        </w:rPr>
        <w:t>165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空仓胜率       </w:t>
      </w:r>
      <w:r>
        <w:rPr>
          <w:rStyle w:val="44"/>
          <w:color w:val="auto"/>
          <w:sz w:val="24"/>
          <w:szCs w:val="28"/>
        </w:rPr>
        <w:t>51.89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空仓平均持有期      </w:t>
      </w:r>
      <w:r>
        <w:rPr>
          <w:rStyle w:val="44"/>
          <w:color w:val="auto"/>
          <w:sz w:val="24"/>
          <w:szCs w:val="28"/>
        </w:rPr>
        <w:t>0.79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周期胜率       </w:t>
      </w:r>
      <w:r>
        <w:rPr>
          <w:rStyle w:val="44"/>
          <w:color w:val="auto"/>
          <w:sz w:val="24"/>
          <w:szCs w:val="28"/>
        </w:rPr>
        <w:t>52.52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最大回撤       </w:t>
      </w:r>
      <w:r>
        <w:rPr>
          <w:rStyle w:val="44"/>
          <w:color w:val="auto"/>
          <w:sz w:val="24"/>
          <w:szCs w:val="28"/>
        </w:rPr>
        <w:t>30.72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>年化收益</w:t>
      </w:r>
      <w:r>
        <w:rPr>
          <w:rStyle w:val="60"/>
          <w:color w:val="auto"/>
          <w:sz w:val="24"/>
          <w:szCs w:val="28"/>
        </w:rPr>
        <w:t>/</w:t>
      </w:r>
      <w:r>
        <w:rPr>
          <w:rStyle w:val="70"/>
          <w:color w:val="auto"/>
          <w:sz w:val="24"/>
          <w:szCs w:val="28"/>
        </w:rPr>
        <w:t xml:space="preserve">最大回撤    </w:t>
      </w:r>
      <w:r>
        <w:rPr>
          <w:rStyle w:val="44"/>
          <w:color w:val="auto"/>
          <w:sz w:val="24"/>
          <w:szCs w:val="28"/>
        </w:rPr>
        <w:t>0.41</w:t>
      </w:r>
      <w:r>
        <w:rPr>
          <w:rStyle w:val="70"/>
          <w:color w:val="auto"/>
          <w:sz w:val="24"/>
          <w:szCs w:val="28"/>
        </w:rPr>
        <w:t>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年化收益       </w:t>
      </w:r>
      <w:r>
        <w:rPr>
          <w:rStyle w:val="44"/>
          <w:color w:val="auto"/>
          <w:sz w:val="24"/>
          <w:szCs w:val="28"/>
        </w:rPr>
        <w:t>12.49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年化标准差      </w:t>
      </w:r>
      <w:r>
        <w:rPr>
          <w:rStyle w:val="44"/>
          <w:color w:val="auto"/>
          <w:sz w:val="24"/>
          <w:szCs w:val="28"/>
        </w:rPr>
        <w:t>20.97</w:t>
      </w:r>
      <w:r>
        <w:rPr>
          <w:rStyle w:val="70"/>
          <w:color w:val="auto"/>
          <w:sz w:val="24"/>
          <w:szCs w:val="28"/>
        </w:rPr>
        <w:t>%
</w:t>
      </w:r>
      <w:r>
        <w:rPr>
          <w:color w:val="auto"/>
          <w:sz w:val="28"/>
          <w:szCs w:val="28"/>
        </w:rPr>
        <w:br w:type="textWrapping"/>
      </w:r>
      <w:r>
        <w:rPr>
          <w:rStyle w:val="70"/>
          <w:color w:val="auto"/>
          <w:sz w:val="24"/>
          <w:szCs w:val="28"/>
        </w:rPr>
        <w:t xml:space="preserve">年化夏普         </w:t>
      </w:r>
      <w:r>
        <w:rPr>
          <w:rStyle w:val="44"/>
          <w:color w:val="auto"/>
          <w:sz w:val="24"/>
          <w:szCs w:val="28"/>
        </w:rPr>
        <w:t>0.60</w:t>
      </w:r>
    </w:p>
    <w:p>
      <w:pPr>
        <w:pStyle w:val="24"/>
        <w:numPr>
          <w:ilvl w:val="0"/>
          <w:numId w:val="1"/>
        </w:numPr>
      </w:pPr>
      <w:r>
        <w:t>交易累计收益图示：</w:t>
      </w:r>
      <w:bookmarkStart w:id="12" w:name="图4指数期货与收益红线为收益蓝线为指数期货）"/>
    </w:p>
    <w:p>
      <w:pPr>
        <w:pStyle w:val="3"/>
      </w:pPr>
    </w:p>
    <w:p>
      <w:pPr>
        <w:pStyle w:val="24"/>
        <w:numPr>
          <w:ilvl w:val="0"/>
          <w:numId w:val="0"/>
        </w:numPr>
        <w:rPr>
          <w:rFonts w:asciiTheme="majorHAnsi" w:hAnsiTheme="majorHAnsi" w:eastAsiaTheme="majorEastAsia" w:cstheme="majorBidi"/>
          <w:color w:val="4F81BD" w:themeColor="accent1"/>
          <w:sz w:val="24"/>
          <w:szCs w:val="24"/>
          <w:lang w:val="en-US" w:eastAsia="en-US" w:bidi="ar-SA"/>
        </w:rPr>
      </w:pPr>
      <w:r>
        <w:rPr>
          <w:rFonts w:asciiTheme="majorHAnsi" w:hAnsiTheme="majorHAnsi" w:eastAsiaTheme="majorEastAsia" w:cstheme="majorBidi"/>
          <w:color w:val="4F81BD" w:themeColor="accent1"/>
          <w:sz w:val="24"/>
          <w:szCs w:val="24"/>
          <w:lang w:val="en-US" w:eastAsia="en-US" w:bidi="ar-SA"/>
        </w:rPr>
        <w:t>图4：指数期货与收益（红线为收益，蓝线为指数期货）</w:t>
      </w:r>
    </w:p>
    <w:p>
      <w:pPr>
        <w:pStyle w:val="24"/>
        <w:numPr>
          <w:ilvl w:val="0"/>
          <w:numId w:val="0"/>
        </w:numPr>
      </w:pPr>
      <w:r>
        <w:drawing>
          <wp:inline distT="0" distB="0" distL="114300" distR="114300">
            <wp:extent cx="5334000" cy="2218690"/>
            <wp:effectExtent l="0" t="0" r="0" b="0"/>
            <wp:docPr id="4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90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bookmarkEnd w:id="12"/>
    <w:p>
      <w:pPr>
        <w:pStyle w:val="8"/>
      </w:pPr>
      <w:bookmarkStart w:id="13" w:name="图5收益"/>
    </w:p>
    <w:p>
      <w:pPr>
        <w:pStyle w:val="8"/>
      </w:pPr>
      <w:r>
        <w:t>图5：收益</w:t>
      </w:r>
    </w:p>
    <w:p>
      <w:pPr>
        <w:pStyle w:val="3"/>
      </w:pPr>
    </w:p>
    <w:p>
      <w:pPr>
        <w:pStyle w:val="35"/>
      </w:pPr>
      <w:r>
        <w:drawing>
          <wp:inline distT="0" distB="0" distL="114300" distR="114300">
            <wp:extent cx="5334000" cy="1595120"/>
            <wp:effectExtent l="0" t="0" r="0" b="0"/>
            <wp:docPr id="4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953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bookmarkEnd w:id="11"/>
    <w:bookmarkEnd w:id="13"/>
    <w:p>
      <w:pPr>
        <w:pStyle w:val="5"/>
        <w:rPr>
          <w:color w:val="auto"/>
          <w:sz w:val="32"/>
          <w:szCs w:val="32"/>
        </w:rPr>
      </w:pPr>
      <w:bookmarkStart w:id="14" w:name="三策略改进"/>
      <w:r>
        <w:rPr>
          <w:color w:val="auto"/>
          <w:sz w:val="32"/>
          <w:szCs w:val="32"/>
        </w:rPr>
        <w:t>三、策略改进</w:t>
      </w:r>
    </w:p>
    <w:p>
      <w:pPr>
        <w:pStyle w:val="6"/>
        <w:rPr>
          <w:rFonts w:asciiTheme="minorHAnsi" w:hAnsiTheme="minorHAnsi" w:eastAsiaTheme="minorHAnsi" w:cstheme="minorBidi"/>
          <w:b/>
          <w:bCs/>
          <w:i w:val="0"/>
          <w:color w:val="auto"/>
          <w:sz w:val="28"/>
          <w:szCs w:val="28"/>
          <w:lang w:val="en-US" w:eastAsia="en-US" w:bidi="ar-SA"/>
        </w:rPr>
      </w:pPr>
      <w:bookmarkStart w:id="15" w:name="X840d45c6c3c3c0a3f6a2bd175ea6f682be38633"/>
      <w:r>
        <w:rPr>
          <w:rFonts w:asciiTheme="minorHAnsi" w:hAnsiTheme="minorHAnsi" w:eastAsiaTheme="minorHAnsi" w:cstheme="minorBidi"/>
          <w:b/>
          <w:bCs/>
          <w:i w:val="0"/>
          <w:color w:val="auto"/>
          <w:sz w:val="28"/>
          <w:szCs w:val="28"/>
          <w:lang w:val="en-US" w:eastAsia="en-US" w:bidi="ar-SA"/>
        </w:rPr>
        <w:t>1.改进方案</w:t>
      </w:r>
    </w:p>
    <w:p>
      <w:pPr>
        <w:pStyle w:val="24"/>
        <w:ind w:firstLine="480" w:firstLineChars="200"/>
      </w:pPr>
      <w:r>
        <w:t>考虑止损情况，设置1%的止损幅度，在当日盘中波动较昨日收盘价边度幅度在不利方向超过或等于1%时，触发止损机制，强制平仓，否则继续持有到15点，再依据之前策略进行次日涨跌判断。</w:t>
      </w:r>
    </w:p>
    <w:p>
      <w:pPr>
        <w:pStyle w:val="3"/>
        <w:ind w:firstLine="480" w:firstLineChars="200"/>
      </w:pPr>
      <w:r>
        <w:t>由于考虑到了日内平仓的可能性，故在15点时会有持有多仓，持有空仓，未持仓三种情况的出现。本文采用了10min的分钟数据进行日内波动止损机制的判断。</w:t>
      </w:r>
    </w:p>
    <w:p>
      <w:pPr>
        <w:pStyle w:val="8"/>
      </w:pPr>
      <w:bookmarkStart w:id="16" w:name="图6改进的判断交易流程图"/>
      <w:r>
        <w:t>图6：改进的判断交易流程图</w:t>
      </w:r>
    </w:p>
    <w:p>
      <w:pPr>
        <w:pStyle w:val="35"/>
      </w:pPr>
      <w:r>
        <w:drawing>
          <wp:inline distT="0" distB="0" distL="114300" distR="114300">
            <wp:extent cx="5334000" cy="3028950"/>
            <wp:effectExtent l="0" t="0" r="0" b="0"/>
            <wp:docPr id="4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0294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bookmarkEnd w:id="15"/>
    <w:bookmarkEnd w:id="16"/>
    <w:p>
      <w:pPr>
        <w:pStyle w:val="6"/>
        <w:numPr>
          <w:ilvl w:val="0"/>
          <w:numId w:val="2"/>
        </w:numPr>
        <w:rPr>
          <w:rStyle w:val="36"/>
          <w:rFonts w:eastAsiaTheme="minorHAnsi" w:cstheme="minorBidi"/>
          <w:b/>
          <w:bCs/>
          <w:i w:val="0"/>
          <w:color w:val="auto"/>
          <w:sz w:val="28"/>
          <w:szCs w:val="32"/>
          <w:lang w:val="en-US" w:eastAsia="en-US" w:bidi="ar-SA"/>
        </w:rPr>
      </w:pPr>
      <w:bookmarkStart w:id="17" w:name="X3bd3f8581c338c57d483338bf9fc2a2197be7ce"/>
      <w:r>
        <w:rPr>
          <w:rStyle w:val="36"/>
          <w:rFonts w:eastAsiaTheme="minorHAnsi" w:cstheme="minorBidi"/>
          <w:b/>
          <w:bCs/>
          <w:i w:val="0"/>
          <w:color w:val="auto"/>
          <w:sz w:val="28"/>
          <w:szCs w:val="32"/>
          <w:lang w:val="en-US" w:eastAsia="en-US" w:bidi="ar-SA"/>
        </w:rPr>
        <w:t>回测结果</w:t>
      </w:r>
      <w:r>
        <w:rPr>
          <w:rStyle w:val="36"/>
          <w:rFonts w:hint="eastAsia" w:eastAsiaTheme="minorHAnsi" w:cstheme="minorBidi"/>
          <w:b/>
          <w:bCs/>
          <w:i w:val="0"/>
          <w:color w:val="auto"/>
          <w:sz w:val="28"/>
          <w:szCs w:val="32"/>
          <w:lang w:val="en-US" w:eastAsia="zh-CN" w:bidi="ar-SA"/>
        </w:rPr>
        <w:t>：</w:t>
      </w:r>
    </w:p>
    <w:p>
      <w:pPr>
        <w:pStyle w:val="37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single" w:color="auto" w:sz="4" w:space="0"/>
        </w:pBdr>
        <w:jc w:val="center"/>
      </w:pPr>
      <w:r>
        <w:rPr>
          <w:rStyle w:val="36"/>
        </w:rPr>
        <w:t>累计收益       151.08%
</w:t>
      </w:r>
      <w:r>
        <w:br w:type="textWrapping"/>
      </w:r>
      <w:r>
        <w:rPr>
          <w:rStyle w:val="36"/>
        </w:rPr>
        <w:t>多仓次数           442
</w:t>
      </w:r>
      <w:r>
        <w:br w:type="textWrapping"/>
      </w:r>
      <w:r>
        <w:rPr>
          <w:rStyle w:val="36"/>
        </w:rPr>
        <w:t>多仓成功次数         203
</w:t>
      </w:r>
      <w:r>
        <w:br w:type="textWrapping"/>
      </w:r>
      <w:r>
        <w:rPr>
          <w:rStyle w:val="36"/>
        </w:rPr>
        <w:t>多仓胜率        45.93%
</w:t>
      </w:r>
      <w:r>
        <w:br w:type="textWrapping"/>
      </w:r>
      <w:r>
        <w:rPr>
          <w:rStyle w:val="36"/>
        </w:rPr>
        <w:t>多仓平均持有期      30.77
</w:t>
      </w:r>
      <w:r>
        <w:br w:type="textWrapping"/>
      </w:r>
      <w:r>
        <w:rPr>
          <w:rStyle w:val="36"/>
        </w:rPr>
        <w:t>空仓次数           406
</w:t>
      </w:r>
      <w:r>
        <w:br w:type="textWrapping"/>
      </w:r>
      <w:r>
        <w:rPr>
          <w:rStyle w:val="36"/>
        </w:rPr>
        <w:t>空仓成功次数         174
</w:t>
      </w:r>
      <w:r>
        <w:br w:type="textWrapping"/>
      </w:r>
      <w:r>
        <w:rPr>
          <w:rStyle w:val="36"/>
        </w:rPr>
        <w:t>空仓胜率        42.86%
</w:t>
      </w:r>
      <w:r>
        <w:br w:type="textWrapping"/>
      </w:r>
      <w:r>
        <w:rPr>
          <w:rStyle w:val="36"/>
        </w:rPr>
        <w:t>空仓平均持有期      24.74
</w:t>
      </w:r>
      <w:r>
        <w:br w:type="textWrapping"/>
      </w:r>
      <w:r>
        <w:rPr>
          <w:rStyle w:val="36"/>
        </w:rPr>
        <w:t>周期胜率        49.79%
</w:t>
      </w:r>
      <w:r>
        <w:br w:type="textWrapping"/>
      </w:r>
      <w:r>
        <w:rPr>
          <w:rStyle w:val="36"/>
        </w:rPr>
        <w:t>最大回撤        18.19%
</w:t>
      </w:r>
      <w:r>
        <w:br w:type="textWrapping"/>
      </w:r>
      <w:r>
        <w:rPr>
          <w:rStyle w:val="36"/>
        </w:rPr>
        <w:t>年化收益/最大回撤     1.04
</w:t>
      </w:r>
      <w:r>
        <w:br w:type="textWrapping"/>
      </w:r>
      <w:r>
        <w:rPr>
          <w:rStyle w:val="36"/>
        </w:rPr>
        <w:t>年化收益        18.89%
</w:t>
      </w:r>
      <w:r>
        <w:br w:type="textWrapping"/>
      </w:r>
      <w:r>
        <w:rPr>
          <w:rStyle w:val="36"/>
        </w:rPr>
        <w:t>年化标准差       16.90%
</w:t>
      </w:r>
      <w:r>
        <w:br w:type="textWrapping"/>
      </w:r>
      <w:r>
        <w:rPr>
          <w:rStyle w:val="36"/>
        </w:rPr>
        <w:t>年化夏普          1.12</w:t>
      </w:r>
    </w:p>
    <w:p>
      <w:pPr>
        <w:pStyle w:val="8"/>
      </w:pPr>
      <w:bookmarkStart w:id="18" w:name="图7指数期货与收益红线为收益蓝线为指数期货）"/>
      <w:r>
        <w:t>图7：指数期货与收益（红线为收益，蓝线为指数期货）</w:t>
      </w:r>
    </w:p>
    <w:p>
      <w:pPr>
        <w:pStyle w:val="35"/>
      </w:pPr>
      <w:r>
        <w:drawing>
          <wp:inline distT="0" distB="0" distL="114300" distR="114300">
            <wp:extent cx="5334000" cy="2213610"/>
            <wp:effectExtent l="0" t="0" r="0" b="0"/>
            <wp:docPr id="5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1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bookmarkEnd w:id="18"/>
    <w:p>
      <w:pPr>
        <w:pStyle w:val="8"/>
      </w:pPr>
      <w:bookmarkStart w:id="19" w:name="图8收益"/>
      <w:r>
        <w:t>图8：收益</w:t>
      </w:r>
    </w:p>
    <w:p>
      <w:pPr>
        <w:pStyle w:val="35"/>
      </w:pPr>
      <w:r>
        <w:drawing>
          <wp:inline distT="0" distB="0" distL="114300" distR="114300">
            <wp:extent cx="5334000" cy="1602105"/>
            <wp:effectExtent l="0" t="0" r="0" b="0"/>
            <wp:docPr id="5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027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</w:pPr>
    </w:p>
    <w:bookmarkEnd w:id="14"/>
    <w:bookmarkEnd w:id="17"/>
    <w:bookmarkEnd w:id="19"/>
    <w:p>
      <w:pPr>
        <w:pStyle w:val="5"/>
        <w:rPr>
          <w:color w:val="auto"/>
          <w:sz w:val="32"/>
          <w:szCs w:val="32"/>
        </w:rPr>
      </w:pPr>
      <w:bookmarkStart w:id="20" w:name="四总结"/>
      <w:r>
        <w:rPr>
          <w:color w:val="auto"/>
          <w:sz w:val="32"/>
          <w:szCs w:val="32"/>
        </w:rPr>
        <w:t>四、总结</w:t>
      </w:r>
    </w:p>
    <w:p>
      <w:pPr>
        <w:pStyle w:val="24"/>
        <w:ind w:firstLine="480" w:firstLineChars="200"/>
      </w:pPr>
      <w:r>
        <w:t>在设置止损幅度1%之后，策略表现明显好于未加止损机制，分析其原因，主要在于，若对下一交易日的预测错误，原策略只能在下一交易日的15点才有可能弥补错误造成的损失，而加入止损机制，若盘中已造成一定损失，可立即止损平仓。当面临预测错误且向不利的方向进行跳空开仓的时候，止损策略更加有效。</w:t>
      </w:r>
    </w:p>
    <w:p>
      <w:pPr>
        <w:pStyle w:val="3"/>
        <w:ind w:firstLine="480" w:firstLineChars="200"/>
      </w:pPr>
      <w:r>
        <w:t>原研报采用SLM的策略对上证指数进行回测，以1995年到2004年为初始语料库，2005年到2009年为样本内来寻找最佳阶数，根据历史收益最大化的远侧，确定模型阶数为6。在未设置止损机制时，2005年到2013年年化收益率达到了80.3%，设置止损机制后年化收益达到了75%。猜测原因有：SLM对上证指数效果更好，2005年-2013年指数走势整体较好，计算收益的时候考虑了其他研报没给出的参数或者条件。</w:t>
      </w:r>
    </w:p>
    <w:p>
      <w:pPr>
        <w:pStyle w:val="3"/>
      </w:pPr>
    </w:p>
    <w:bookmarkEnd w:id="0"/>
    <w:bookmarkEnd w:id="20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27C662E"/>
    <w:multiLevelType w:val="singleLevel"/>
    <w:tmpl w:val="E27C66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5F0EAFF"/>
    <w:multiLevelType w:val="singleLevel"/>
    <w:tmpl w:val="75F0EAFF"/>
    <w:lvl w:ilvl="0" w:tentative="0">
      <w:start w:val="4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ZTllYTY3ZjkwZGYzNDZjNWE3OTU1YzQwMTFkYzRlMTYifQ=="/>
  </w:docVars>
  <w:rsids>
    <w:rsidRoot w:val="00000000"/>
    <w:rsid w:val="0A8C5DDB"/>
    <w:rsid w:val="4997574F"/>
    <w:rsid w:val="57390A2F"/>
    <w:rsid w:val="5987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0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table" w:styleId="19">
    <w:name w:val="Table Grid"/>
    <w:basedOn w:val="1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Hyperlink"/>
    <w:basedOn w:val="22"/>
    <w:uiPriority w:val="0"/>
    <w:rPr>
      <w:color w:val="4F81BD" w:themeColor="accent1"/>
    </w:rPr>
  </w:style>
  <w:style w:type="character" w:customStyle="1" w:styleId="22">
    <w:name w:val="Body Text Char"/>
    <w:basedOn w:val="20"/>
    <w:link w:val="3"/>
    <w:qFormat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paragraph" w:customStyle="1" w:styleId="26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uiPriority w:val="0"/>
  </w:style>
  <w:style w:type="paragraph" w:customStyle="1" w:styleId="32">
    <w:name w:val="Table Caption"/>
    <w:basedOn w:val="12"/>
    <w:uiPriority w:val="0"/>
    <w:pPr>
      <w:keepNext/>
    </w:pPr>
  </w:style>
  <w:style w:type="paragraph" w:customStyle="1" w:styleId="33">
    <w:name w:val="Image Caption"/>
    <w:basedOn w:val="12"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22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22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1925</Words>
  <Characters>2323</Characters>
  <Lines>12</Lines>
  <Paragraphs>8</Paragraphs>
  <TotalTime>6</TotalTime>
  <ScaleCrop>false</ScaleCrop>
  <LinksUpToDate>false</LinksUpToDate>
  <CharactersWithSpaces>2590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2022-05-10T11:34:00Z</dcterms:created>
  <dc:creator>WPS_1507726448</dc:creator>
  <cp:lastModifiedBy>WPS_1507726448</cp:lastModifiedBy>
  <dcterms:modified xsi:type="dcterms:W3CDTF">2022-07-22T01:30:48Z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9BBC522109914D588E933D98A571FA78</vt:lpwstr>
  </property>
</Properties>
</file>