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eastAsiaTheme="majorEastAsia"/>
          <w:color w:val="auto"/>
          <w:sz w:val="36"/>
          <w:szCs w:val="36"/>
          <w:lang w:val="en-US" w:eastAsia="zh-CN"/>
        </w:rPr>
      </w:pPr>
      <w:bookmarkStart w:id="0" w:name="研报复现4四基于日内波动极值的股指期货趋势跟随系统"/>
      <w:r>
        <w:rPr>
          <w:color w:val="auto"/>
          <w:sz w:val="36"/>
          <w:szCs w:val="36"/>
        </w:rPr>
        <w:t>研报复现4：四：基于日内波动极值的股指期货趋势跟随系统</w:t>
      </w:r>
      <w:bookmarkStart w:id="11" w:name="_GoBack"/>
      <w:bookmarkEnd w:id="11"/>
    </w:p>
    <w:p>
      <w:pPr>
        <w:pStyle w:val="5"/>
        <w:rPr>
          <w:color w:val="auto"/>
          <w:sz w:val="32"/>
          <w:szCs w:val="32"/>
        </w:rPr>
      </w:pPr>
      <w:bookmarkStart w:id="1" w:name="一策略概述"/>
      <w:r>
        <w:rPr>
          <w:color w:val="auto"/>
          <w:sz w:val="32"/>
          <w:szCs w:val="32"/>
        </w:rPr>
        <w:t>一、策略概述</w:t>
      </w:r>
    </w:p>
    <w:p>
      <w:pPr>
        <w:pStyle w:val="6"/>
        <w:rPr>
          <w:rFonts w:asciiTheme="minorHAnsi" w:hAnsiTheme="minorHAnsi" w:eastAsiaTheme="minorHAnsi" w:cstheme="minorBidi"/>
          <w:b/>
          <w:bCs/>
          <w:i w:val="0"/>
          <w:color w:val="auto"/>
          <w:sz w:val="30"/>
          <w:szCs w:val="30"/>
          <w:lang w:val="en-US" w:eastAsia="en-US" w:bidi="ar-SA"/>
        </w:rPr>
      </w:pPr>
      <w:bookmarkStart w:id="2" w:name="X0ef5d13fce9c749a94367f571e6a37558c2dfb4"/>
      <w:r>
        <w:rPr>
          <w:rFonts w:asciiTheme="minorHAnsi" w:hAnsiTheme="minorHAnsi" w:eastAsiaTheme="minorHAnsi" w:cstheme="minorBidi"/>
          <w:b/>
          <w:bCs/>
          <w:i w:val="0"/>
          <w:color w:val="auto"/>
          <w:sz w:val="30"/>
          <w:szCs w:val="30"/>
          <w:lang w:val="en-US" w:eastAsia="en-US" w:bidi="ar-SA"/>
        </w:rPr>
        <w:t>1.1 日内波动极值模型</w:t>
      </w:r>
    </w:p>
    <w:p>
      <w:pPr>
        <w:pStyle w:val="23"/>
        <w:ind w:firstLine="480" w:firstLineChars="200"/>
      </w:pPr>
      <w:r>
        <w:t>设</w:t>
      </w:r>
      <m:oMath>
        <m:sSub>
          <m:sSubPr/>
          <m:e>
            <m:r>
              <m:rPr/>
              <m:t>c</m:t>
            </m:r>
          </m:e>
          <m:sub>
            <m:r>
              <m:rPr/>
              <m:t>1</m:t>
            </m:r>
          </m:sub>
        </m:sSub>
        <m:r>
          <m:rPr>
            <m:sty m:val="p"/>
          </m:rPr>
          <m:t>,</m:t>
        </m:r>
        <m:sSub>
          <m:sSubPr/>
          <m:e>
            <m:r>
              <m:rPr/>
              <m:t>c</m:t>
            </m:r>
          </m:e>
          <m:sub>
            <m:r>
              <m:rPr/>
              <m:t>2</m:t>
            </m:r>
          </m:sub>
        </m:sSub>
        <m:r>
          <m:rPr>
            <m:sty m:val="p"/>
          </m:rPr>
          <m:t>,...,</m:t>
        </m:r>
        <m:sSub>
          <m:sSubPr/>
          <m:e>
            <m:r>
              <m:rPr/>
              <m:t>c</m:t>
            </m:r>
          </m:e>
          <m:sub>
            <m:r>
              <m:rPr/>
              <m:t>n</m:t>
            </m:r>
          </m:sub>
        </m:sSub>
      </m:oMath>
      <w:r>
        <w:t xml:space="preserve"> 为股指期货日内某一频率下的K线收盘价序列，</w:t>
      </w:r>
      <m:oMath>
        <m:sSub>
          <m:sSubPr/>
          <m:e>
            <m:r>
              <m:rPr/>
              <m:t>ℎ</m:t>
            </m:r>
          </m:e>
          <m:sub>
            <m:r>
              <m:rPr/>
              <m:t>1</m:t>
            </m:r>
          </m:sub>
        </m:sSub>
        <m:r>
          <m:rPr>
            <m:sty m:val="p"/>
          </m:rPr>
          <m:t>,</m:t>
        </m:r>
        <m:sSub>
          <m:sSubPr/>
          <m:e>
            <m:r>
              <m:rPr/>
              <m:t>ℎ</m:t>
            </m:r>
          </m:e>
          <m:sub>
            <m:r>
              <m:rPr/>
              <m:t>2</m:t>
            </m:r>
          </m:sub>
        </m:sSub>
        <m:r>
          <m:rPr>
            <m:sty m:val="p"/>
          </m:rPr>
          <m:t>,...,</m:t>
        </m:r>
        <m:sSub>
          <m:sSubPr/>
          <m:e>
            <m:r>
              <m:rPr/>
              <m:t>ℎ</m:t>
            </m:r>
          </m:e>
          <m:sub>
            <m:r>
              <m:rPr/>
              <m:t>n</m:t>
            </m:r>
          </m:sub>
        </m:sSub>
      </m:oMath>
      <w:r>
        <w:t xml:space="preserve"> 为股指期货日内某一频率下的K线最高价序列，</w:t>
      </w:r>
      <m:oMath>
        <m:sSub>
          <m:sSubPr/>
          <m:e>
            <m:r>
              <m:rPr/>
              <m:t>l</m:t>
            </m:r>
          </m:e>
          <m:sub>
            <m:r>
              <m:rPr/>
              <m:t>1</m:t>
            </m:r>
          </m:sub>
        </m:sSub>
        <m:r>
          <m:rPr>
            <m:sty m:val="p"/>
          </m:rPr>
          <m:t>,</m:t>
        </m:r>
        <m:sSub>
          <m:sSubPr/>
          <m:e>
            <m:r>
              <m:rPr/>
              <m:t>l</m:t>
            </m:r>
          </m:e>
          <m:sub>
            <m:r>
              <m:rPr/>
              <m:t>2</m:t>
            </m:r>
          </m:sub>
        </m:sSub>
        <m:r>
          <m:rPr>
            <m:sty m:val="p"/>
          </m:rPr>
          <m:t>,...,</m:t>
        </m:r>
        <m:sSub>
          <m:sSubPr/>
          <m:e>
            <m:r>
              <m:rPr/>
              <m:t>l</m:t>
            </m:r>
          </m:e>
          <m:sub>
            <m:r>
              <m:rPr/>
              <m:t>n</m:t>
            </m:r>
          </m:sub>
        </m:sSub>
      </m:oMath>
      <w:r>
        <w:t xml:space="preserve"> 为股指期货日内某一频率下的K线最低价序列，</w:t>
      </w:r>
      <m:oMath>
        <m:r>
          <m:rPr/>
          <m:t>sL</m:t>
        </m:r>
      </m:oMath>
      <w:r>
        <w:t>为日内波动极值偏移周期数，定义</w:t>
      </w:r>
    </w:p>
    <w:p>
      <w:pPr>
        <w:pStyle w:val="3"/>
      </w:pPr>
      <m:oMathPara>
        <m:oMathParaPr>
          <m:jc m:val="center"/>
        </m:oMathParaPr>
        <m:oMath>
          <m:m>
            <m:mPr>
              <m:mcs>
                <m:mc>
                  <m:mcPr>
                    <m:count m:val="1"/>
                    <m:mcJc m:val="right"/>
                  </m:mcPr>
                </m:mc>
                <m:mc>
                  <m:mcPr>
                    <m:count m:val="1"/>
                    <m:mcJc m:val="left"/>
                  </m:mcPr>
                </m:mc>
              </m:mcs>
              <m:plcHide m:val="1"/>
            </m:mPr>
            <m:mr>
              <m:e/>
              <m:e>
                <m:r>
                  <m:rPr/>
                  <m:t>v</m:t>
                </m:r>
                <m:sSub>
                  <m:sSubPr/>
                  <m:e>
                    <m:r>
                      <m:rPr/>
                      <m:t>H</m:t>
                    </m:r>
                  </m:e>
                  <m:sub>
                    <m:r>
                      <m:rPr/>
                      <m:t>i</m:t>
                    </m:r>
                  </m:sub>
                </m:sSub>
                <m:r>
                  <m:rPr>
                    <m:sty m:val="p"/>
                  </m:rPr>
                  <m:t>=</m:t>
                </m:r>
                <m:limLow>
                  <m:limLowPr/>
                  <m:e>
                    <m:r>
                      <m:rPr>
                        <m:sty m:val="p"/>
                      </m:rPr>
                      <m:t>max</m:t>
                    </m:r>
                  </m:e>
                  <m:lim>
                    <m:r>
                      <m:rPr/>
                      <m:t>1</m:t>
                    </m:r>
                    <m:r>
                      <m:rPr>
                        <m:sty m:val="p"/>
                      </m:rPr>
                      <m:t>≤</m:t>
                    </m:r>
                    <m:r>
                      <m:rPr/>
                      <m:t>j</m:t>
                    </m:r>
                    <m:r>
                      <m:rPr>
                        <m:sty m:val="p"/>
                      </m:rPr>
                      <m:t>≤max</m:t>
                    </m:r>
                    <m:d>
                      <m:dPr>
                        <m:sepChr m:val=""/>
                      </m:dPr>
                      <m:e>
                        <m:r>
                          <m:rPr/>
                          <m:t>i</m:t>
                        </m:r>
                        <m:r>
                          <m:rPr>
                            <m:sty m:val="p"/>
                          </m:rPr>
                          <m:t>−</m:t>
                        </m:r>
                        <m:r>
                          <m:rPr/>
                          <m:t>sL</m:t>
                        </m:r>
                        <m:r>
                          <m:rPr>
                            <m:sty m:val="p"/>
                          </m:rPr>
                          <m:t>,</m:t>
                        </m:r>
                        <m:r>
                          <m:rPr/>
                          <m:t>1</m:t>
                        </m:r>
                      </m:e>
                    </m:d>
                  </m:lim>
                </m:limLow>
                <m:d>
                  <m:dPr>
                    <m:sepChr m:val=""/>
                  </m:dPr>
                  <m:e>
                    <m:sSub>
                      <m:sSubPr/>
                      <m:e>
                        <m:r>
                          <m:rPr/>
                          <m:t>ℎ</m:t>
                        </m:r>
                      </m:e>
                      <m:sub>
                        <m:r>
                          <m:rPr/>
                          <m:t>j</m:t>
                        </m:r>
                      </m:sub>
                    </m:sSub>
                  </m:e>
                </m:d>
                <m:r>
                  <m:rPr>
                    <m:sty m:val="p"/>
                  </m:rPr>
                  <m:t>,</m:t>
                </m:r>
                <m:r>
                  <m:rPr/>
                  <m:t> i</m:t>
                </m:r>
                <m:r>
                  <m:rPr>
                    <m:sty m:val="p"/>
                  </m:rPr>
                  <m:t>=</m:t>
                </m:r>
                <m:r>
                  <m:rPr/>
                  <m:t>1</m:t>
                </m:r>
                <m:r>
                  <m:rPr>
                    <m:sty m:val="p"/>
                  </m:rPr>
                  <m:t>,</m:t>
                </m:r>
                <m:r>
                  <m:rPr/>
                  <m:t>2</m:t>
                </m:r>
                <m:r>
                  <m:rPr>
                    <m:sty m:val="p"/>
                  </m:rPr>
                  <m:t>,⋯,</m:t>
                </m:r>
                <m:r>
                  <m:rPr/>
                  <m:t>n</m:t>
                </m:r>
              </m:e>
            </m:mr>
            <m:mr>
              <m:e/>
              <m:e>
                <m:r>
                  <m:rPr/>
                  <m:t>v</m:t>
                </m:r>
                <m:sSub>
                  <m:sSubPr/>
                  <m:e>
                    <m:r>
                      <m:rPr/>
                      <m:t>L</m:t>
                    </m:r>
                  </m:e>
                  <m:sub>
                    <m:r>
                      <m:rPr/>
                      <m:t>i</m:t>
                    </m:r>
                  </m:sub>
                </m:sSub>
                <m:r>
                  <m:rPr>
                    <m:sty m:val="p"/>
                  </m:rPr>
                  <m:t>=</m:t>
                </m:r>
                <m:limLow>
                  <m:limLowPr/>
                  <m:e>
                    <m:r>
                      <m:rPr>
                        <m:sty m:val="p"/>
                      </m:rPr>
                      <m:t>min</m:t>
                    </m:r>
                  </m:e>
                  <m:lim>
                    <m:r>
                      <m:rPr/>
                      <m:t>1</m:t>
                    </m:r>
                    <m:r>
                      <m:rPr>
                        <m:sty m:val="p"/>
                      </m:rPr>
                      <m:t>≤</m:t>
                    </m:r>
                    <m:r>
                      <m:rPr/>
                      <m:t>j</m:t>
                    </m:r>
                    <m:r>
                      <m:rPr>
                        <m:sty m:val="p"/>
                      </m:rPr>
                      <m:t>≤max</m:t>
                    </m:r>
                    <m:d>
                      <m:dPr>
                        <m:sepChr m:val=""/>
                      </m:dPr>
                      <m:e>
                        <m:r>
                          <m:rPr/>
                          <m:t>i</m:t>
                        </m:r>
                        <m:r>
                          <m:rPr>
                            <m:sty m:val="p"/>
                          </m:rPr>
                          <m:t>−</m:t>
                        </m:r>
                        <m:r>
                          <m:rPr/>
                          <m:t>sL</m:t>
                        </m:r>
                        <m:r>
                          <m:rPr>
                            <m:sty m:val="p"/>
                          </m:rPr>
                          <m:t>,</m:t>
                        </m:r>
                        <m:r>
                          <m:rPr/>
                          <m:t>1</m:t>
                        </m:r>
                      </m:e>
                    </m:d>
                  </m:lim>
                </m:limLow>
                <m:d>
                  <m:dPr>
                    <m:sepChr m:val=""/>
                  </m:dPr>
                  <m:e>
                    <m:sSub>
                      <m:sSubPr/>
                      <m:e>
                        <m:r>
                          <m:rPr/>
                          <m:t>l</m:t>
                        </m:r>
                      </m:e>
                      <m:sub>
                        <m:r>
                          <m:rPr/>
                          <m:t>j</m:t>
                        </m:r>
                      </m:sub>
                    </m:sSub>
                  </m:e>
                </m:d>
                <m:r>
                  <m:rPr>
                    <m:sty m:val="p"/>
                  </m:rPr>
                  <m:t>,</m:t>
                </m:r>
                <m:r>
                  <m:rPr/>
                  <m:t> i</m:t>
                </m:r>
                <m:r>
                  <m:rPr>
                    <m:sty m:val="p"/>
                  </m:rPr>
                  <m:t>=</m:t>
                </m:r>
                <m:r>
                  <m:rPr/>
                  <m:t>1</m:t>
                </m:r>
                <m:r>
                  <m:rPr>
                    <m:sty m:val="p"/>
                  </m:rPr>
                  <m:t>,</m:t>
                </m:r>
                <m:r>
                  <m:rPr/>
                  <m:t>2</m:t>
                </m:r>
                <m:r>
                  <m:rPr>
                    <m:sty m:val="p"/>
                  </m:rPr>
                  <m:t>,⋯,</m:t>
                </m:r>
                <m:r>
                  <m:rPr/>
                  <m:t>n</m:t>
                </m:r>
              </m:e>
            </m:mr>
          </m:m>
        </m:oMath>
      </m:oMathPara>
    </w:p>
    <w:p>
      <w:pPr>
        <w:pStyle w:val="23"/>
      </w:pPr>
      <w:r>
        <w:t>其中</w:t>
      </w:r>
      <m:oMath>
        <m:r>
          <m:rPr/>
          <m:t>v</m:t>
        </m:r>
        <m:sSub>
          <m:sSubPr/>
          <m:e>
            <m:r>
              <m:rPr/>
              <m:t>H</m:t>
            </m:r>
          </m:e>
          <m:sub>
            <m:r>
              <m:rPr/>
              <m:t>i</m:t>
            </m:r>
          </m:sub>
        </m:sSub>
        <m:r>
          <m:rPr>
            <m:sty m:val="p"/>
          </m:rPr>
          <m:t>,</m:t>
        </m:r>
        <m:r>
          <m:rPr/>
          <m:t>v</m:t>
        </m:r>
        <m:sSub>
          <m:sSubPr/>
          <m:e>
            <m:r>
              <m:rPr/>
              <m:t>L</m:t>
            </m:r>
          </m:e>
          <m:sub>
            <m:r>
              <m:rPr/>
              <m:t>i</m:t>
            </m:r>
          </m:sub>
        </m:sSub>
      </m:oMath>
      <w:r>
        <w:t xml:space="preserve"> 为第i根K线处日内波动极高值和日内波动的极低值。</w:t>
      </w:r>
    </w:p>
    <w:p>
      <w:pPr>
        <w:pStyle w:val="3"/>
        <w:ind w:firstLine="480" w:firstLineChars="200"/>
      </w:pPr>
      <w:r>
        <w:t>由于考虑日内波动，为了保证</w:t>
      </w:r>
      <m:oMath>
        <m:r>
          <m:rPr/>
          <m:t>v</m:t>
        </m:r>
        <m:sSub>
          <m:sSubPr/>
          <m:e>
            <m:r>
              <m:rPr/>
              <m:t>H</m:t>
            </m:r>
          </m:e>
          <m:sub>
            <m:r>
              <m:rPr/>
              <m:t>i</m:t>
            </m:r>
          </m:sub>
        </m:sSub>
        <m:r>
          <m:rPr>
            <m:sty m:val="p"/>
          </m:rPr>
          <m:t>,</m:t>
        </m:r>
        <m:r>
          <m:rPr/>
          <m:t>v</m:t>
        </m:r>
        <m:sSub>
          <m:sSubPr/>
          <m:e>
            <m:r>
              <m:rPr/>
              <m:t>L</m:t>
            </m:r>
          </m:e>
          <m:sub>
            <m:r>
              <m:rPr/>
              <m:t>i</m:t>
            </m:r>
          </m:sub>
        </m:sSub>
      </m:oMath>
      <w:r>
        <w:t xml:space="preserve"> 的稳定性，故截去</w:t>
      </w:r>
      <m:oMath>
        <m:r>
          <m:rPr/>
          <m:t>i</m:t>
        </m:r>
      </m:oMath>
      <w:r>
        <w:t xml:space="preserve"> 小于某一个阈值的信号计算，即在日内交易中开盘后的某一段时间内不触发信号，当开盘交易数据量达到一定程度后开始进行日内极值波动的趋势跟踪策略。</w:t>
      </w:r>
    </w:p>
    <w:p>
      <w:pPr>
        <w:pStyle w:val="3"/>
        <w:ind w:firstLine="480" w:firstLineChars="200"/>
      </w:pPr>
      <w:r>
        <w:t>设</w:t>
      </w:r>
      <m:oMath>
        <m:r>
          <m:rPr/>
          <m:t>cL</m:t>
        </m:r>
      </m:oMath>
      <w:r>
        <w:t>为截断阈值，则定义买卖信号为</w:t>
      </w:r>
    </w:p>
    <w:p>
      <w:pPr>
        <w:pStyle w:val="3"/>
      </w:pPr>
      <m:oMathPara>
        <m:oMathParaPr>
          <m:jc m:val="center"/>
        </m:oMathParaPr>
        <m:oMath>
          <m:sSub>
            <m:sSubPr/>
            <m:e>
              <m:r>
                <m:rPr/>
                <m:t>S</m:t>
              </m:r>
            </m:e>
            <m:sub>
              <m:r>
                <m:rPr/>
                <m:t>i</m:t>
              </m:r>
            </m:sub>
          </m:sSub>
          <m:r>
            <m:rPr>
              <m:sty m:val="p"/>
            </m:rPr>
            <m:t>=</m:t>
          </m:r>
          <m:d>
            <m:dPr>
              <m:begChr m:val="{"/>
              <m:sepChr m:val=""/>
              <m:endChr m:val=""/>
            </m:dPr>
            <m:e>
              <m:m>
                <m:mPr>
                  <m:mcs>
                    <m:mc>
                      <m:mcPr>
                        <m:count m:val="2"/>
                        <m:mcJc m:val="left"/>
                      </m:mcPr>
                    </m:mc>
                  </m:mcs>
                  <m:plcHide m:val="1"/>
                </m:mPr>
                <m:mr>
                  <m:e>
                    <m:r>
                      <m:rPr/>
                      <m:t>1</m:t>
                    </m:r>
                    <m:r>
                      <m:rPr>
                        <m:sty m:val="p"/>
                      </m:rPr>
                      <m:t>,</m:t>
                    </m:r>
                  </m:e>
                  <m:e>
                    <m:r>
                      <m:rPr>
                        <m:nor/>
                        <m:sty m:val="p"/>
                      </m:rPr>
                      <w:rPr>
                        <w:b w:val="0"/>
                        <w:i w:val="0"/>
                      </w:rPr>
                      <m:t>if</m:t>
                    </m:r>
                    <m:r>
                      <m:rPr/>
                      <m:t> </m:t>
                    </m:r>
                    <m:sSub>
                      <m:sSubPr/>
                      <m:e>
                        <m:r>
                          <m:rPr/>
                          <m:t>c</m:t>
                        </m:r>
                      </m:e>
                      <m:sub>
                        <m:r>
                          <m:rPr/>
                          <m:t>i</m:t>
                        </m:r>
                      </m:sub>
                    </m:sSub>
                    <m:r>
                      <m:rPr>
                        <m:sty m:val="p"/>
                      </m:rPr>
                      <m:t>≥</m:t>
                    </m:r>
                    <m:r>
                      <m:rPr/>
                      <m:t>v</m:t>
                    </m:r>
                    <m:sSub>
                      <m:sSubPr/>
                      <m:e>
                        <m:r>
                          <m:rPr/>
                          <m:t>H</m:t>
                        </m:r>
                      </m:e>
                      <m:sub>
                        <m:r>
                          <m:rPr/>
                          <m:t>i</m:t>
                        </m:r>
                      </m:sub>
                    </m:sSub>
                    <m:r>
                      <m:rPr>
                        <m:nor/>
                        <m:sty m:val="p"/>
                      </m:rPr>
                      <w:rPr>
                        <w:b w:val="0"/>
                        <w:i w:val="0"/>
                      </w:rPr>
                      <m:t>and</m:t>
                    </m:r>
                    <m:r>
                      <m:rPr/>
                      <m:t>i</m:t>
                    </m:r>
                    <m:r>
                      <m:rPr>
                        <m:sty m:val="p"/>
                      </m:rPr>
                      <m:t>≥</m:t>
                    </m:r>
                    <m:r>
                      <m:rPr/>
                      <m:t>cL</m:t>
                    </m:r>
                    <m:r>
                      <m:rPr>
                        <m:sty m:val="p"/>
                      </m:rPr>
                      <m:t>+</m:t>
                    </m:r>
                    <m:r>
                      <m:rPr/>
                      <m:t>1</m:t>
                    </m:r>
                  </m:e>
                </m:mr>
                <m:mr>
                  <m:e>
                    <m:r>
                      <m:rPr>
                        <m:sty m:val="p"/>
                      </m:rPr>
                      <m:t>−</m:t>
                    </m:r>
                    <m:r>
                      <m:rPr/>
                      <m:t>1</m:t>
                    </m:r>
                    <m:r>
                      <m:rPr>
                        <m:sty m:val="p"/>
                      </m:rPr>
                      <m:t>,</m:t>
                    </m:r>
                  </m:e>
                  <m:e>
                    <m:r>
                      <m:rPr>
                        <m:nor/>
                        <m:sty m:val="p"/>
                      </m:rPr>
                      <w:rPr>
                        <w:b w:val="0"/>
                        <w:i w:val="0"/>
                      </w:rPr>
                      <m:t>if</m:t>
                    </m:r>
                    <m:r>
                      <m:rPr/>
                      <m:t> </m:t>
                    </m:r>
                    <m:sSub>
                      <m:sSubPr/>
                      <m:e>
                        <m:r>
                          <m:rPr/>
                          <m:t>c</m:t>
                        </m:r>
                      </m:e>
                      <m:sub>
                        <m:r>
                          <m:rPr/>
                          <m:t>i</m:t>
                        </m:r>
                      </m:sub>
                    </m:sSub>
                    <m:r>
                      <m:rPr>
                        <m:sty m:val="p"/>
                      </m:rPr>
                      <m:t>≤</m:t>
                    </m:r>
                    <m:r>
                      <m:rPr/>
                      <m:t>v</m:t>
                    </m:r>
                    <m:sSub>
                      <m:sSubPr/>
                      <m:e>
                        <m:r>
                          <m:rPr/>
                          <m:t>L</m:t>
                        </m:r>
                      </m:e>
                      <m:sub>
                        <m:r>
                          <m:rPr/>
                          <m:t>i</m:t>
                        </m:r>
                      </m:sub>
                    </m:sSub>
                    <m:r>
                      <m:rPr>
                        <m:nor/>
                        <m:sty m:val="p"/>
                      </m:rPr>
                      <w:rPr>
                        <w:b w:val="0"/>
                        <w:i w:val="0"/>
                      </w:rPr>
                      <m:t>and</m:t>
                    </m:r>
                    <m:r>
                      <m:rPr/>
                      <m:t>i</m:t>
                    </m:r>
                    <m:r>
                      <m:rPr>
                        <m:sty m:val="p"/>
                      </m:rPr>
                      <m:t>≥</m:t>
                    </m:r>
                    <m:r>
                      <m:rPr/>
                      <m:t>cL</m:t>
                    </m:r>
                    <m:r>
                      <m:rPr>
                        <m:sty m:val="p"/>
                      </m:rPr>
                      <m:t>+</m:t>
                    </m:r>
                    <m:r>
                      <m:rPr/>
                      <m:t>1</m:t>
                    </m:r>
                  </m:e>
                </m:mr>
                <m:mr>
                  <m:e>
                    <m:r>
                      <m:rPr/>
                      <m:t>0</m:t>
                    </m:r>
                    <m:r>
                      <m:rPr>
                        <m:sty m:val="p"/>
                      </m:rPr>
                      <m:t>,</m:t>
                    </m:r>
                  </m:e>
                  <m:e>
                    <m:r>
                      <m:rPr>
                        <m:nor/>
                        <m:sty m:val="p"/>
                      </m:rPr>
                      <w:rPr>
                        <w:b w:val="0"/>
                        <w:i w:val="0"/>
                      </w:rPr>
                      <m:t>else</m:t>
                    </m:r>
                  </m:e>
                </m:mr>
              </m:m>
            </m:e>
          </m:d>
        </m:oMath>
      </m:oMathPara>
    </w:p>
    <w:p>
      <w:pPr>
        <w:pStyle w:val="23"/>
      </w:pPr>
      <w:r>
        <w:t>其中</w:t>
      </w:r>
      <m:oMath>
        <m:sSub>
          <m:sSubPr/>
          <m:e>
            <m:r>
              <m:rPr/>
              <m:t>S</m:t>
            </m:r>
          </m:e>
          <m:sub>
            <m:r>
              <m:rPr/>
              <m:t>i</m:t>
            </m:r>
          </m:sub>
        </m:sSub>
      </m:oMath>
      <w:r>
        <w:t>为i时刻的信号，1代表买入，-1代表卖出，0代表无信号。当触发首个信号后，对之进行开仓，引入止损机制——头寸跟踪策略，触发止损后平仓，再根据最新的买卖信号进行开仓。</w:t>
      </w:r>
    </w:p>
    <w:p>
      <w:pPr>
        <w:pStyle w:val="3"/>
        <w:ind w:firstLine="480" w:firstLineChars="200"/>
      </w:pPr>
      <w:r>
        <w:t>根据研报取</w:t>
      </w:r>
      <m:oMath>
        <m:r>
          <m:rPr/>
          <m:t>sL</m:t>
        </m:r>
        <m:r>
          <m:rPr>
            <m:sty m:val="p"/>
          </m:rPr>
          <m:t>=</m:t>
        </m:r>
        <m:r>
          <m:rPr/>
          <m:t>2</m:t>
        </m:r>
        <m:r>
          <m:rPr>
            <m:sty m:val="p"/>
          </m:rPr>
          <m:t>,</m:t>
        </m:r>
        <m:r>
          <m:rPr/>
          <m:t>cL</m:t>
        </m:r>
        <m:r>
          <m:rPr>
            <m:sty m:val="p"/>
          </m:rPr>
          <m:t>=</m:t>
        </m:r>
        <m:r>
          <m:rPr/>
          <m:t>15</m:t>
        </m:r>
      </m:oMath>
      <w:r>
        <w:t>。</w:t>
      </w:r>
    </w:p>
    <w:bookmarkEnd w:id="2"/>
    <w:p>
      <w:pPr>
        <w:pStyle w:val="6"/>
        <w:rPr>
          <w:rFonts w:asciiTheme="minorHAnsi" w:hAnsiTheme="minorHAnsi" w:eastAsiaTheme="minorHAnsi" w:cstheme="minorBidi"/>
          <w:b/>
          <w:bCs/>
          <w:i w:val="0"/>
          <w:color w:val="auto"/>
          <w:sz w:val="30"/>
          <w:szCs w:val="30"/>
          <w:lang w:val="en-US" w:eastAsia="en-US" w:bidi="ar-SA"/>
        </w:rPr>
      </w:pPr>
      <w:bookmarkStart w:id="3" w:name="Xb3b9cd68ef21abd5f090eff7b144e6c729ffd91"/>
      <w:r>
        <w:rPr>
          <w:rFonts w:asciiTheme="minorHAnsi" w:hAnsiTheme="minorHAnsi" w:eastAsiaTheme="minorHAnsi" w:cstheme="minorBidi"/>
          <w:b/>
          <w:bCs/>
          <w:i w:val="0"/>
          <w:color w:val="auto"/>
          <w:sz w:val="30"/>
          <w:szCs w:val="30"/>
          <w:lang w:val="en-US" w:eastAsia="en-US" w:bidi="ar-SA"/>
        </w:rPr>
        <w:t>1.2 头寸跟踪策略</w:t>
      </w:r>
    </w:p>
    <w:p>
      <w:pPr>
        <w:pStyle w:val="23"/>
        <w:ind w:firstLine="480" w:firstLineChars="200"/>
      </w:pPr>
      <w:r>
        <w:t>初始止损位：设置为信号发生点所在周期的最高价（空头信号），最低价（多头信号）。</w:t>
      </w:r>
    </w:p>
    <w:p>
      <w:pPr>
        <w:pStyle w:val="3"/>
        <w:ind w:firstLine="480" w:firstLineChars="200"/>
      </w:pPr>
      <w:r>
        <w:t>离场价位：动态计算，借鉴SAR系统算法：</w:t>
      </w:r>
    </w:p>
    <w:p>
      <w:pPr>
        <w:pStyle w:val="3"/>
      </w:pPr>
      <m:oMath>
        <m:sSub>
          <m:sSubPr/>
          <m:e>
            <m:r>
              <m:rPr/>
              <m:t>H</m:t>
            </m:r>
          </m:e>
          <m:sub>
            <m:r>
              <m:rPr/>
              <m:t>i</m:t>
            </m:r>
          </m:sub>
        </m:sSub>
        <m:r>
          <m:rPr>
            <m:sty m:val="p"/>
          </m:rPr>
          <m:t>,</m:t>
        </m:r>
        <m:sSub>
          <m:sSubPr/>
          <m:e>
            <m:r>
              <m:rPr/>
              <m:t>L</m:t>
            </m:r>
          </m:e>
          <m:sub>
            <m:r>
              <m:rPr/>
              <m:t>i</m:t>
            </m:r>
          </m:sub>
        </m:sSub>
        <m:r>
          <m:rPr>
            <m:sty m:val="p"/>
          </m:rPr>
          <m:t>,</m:t>
        </m:r>
        <m:r>
          <m:rPr/>
          <m:t>i</m:t>
        </m:r>
        <m:r>
          <m:rPr>
            <m:sty m:val="p"/>
          </m:rPr>
          <m:t>=</m:t>
        </m:r>
        <m:r>
          <m:rPr/>
          <m:t>1</m:t>
        </m:r>
        <m:r>
          <m:rPr>
            <m:sty m:val="p"/>
          </m:rPr>
          <m:t>,</m:t>
        </m:r>
        <m:r>
          <m:rPr/>
          <m:t>2</m:t>
        </m:r>
        <m:r>
          <m:rPr>
            <m:sty m:val="p"/>
          </m:rPr>
          <m:t>,</m:t>
        </m:r>
        <m:r>
          <m:rPr/>
          <m:t>3</m:t>
        </m:r>
        <m:r>
          <m:rPr>
            <m:sty m:val="p"/>
          </m:rPr>
          <m:t>,...,</m:t>
        </m:r>
        <m:r>
          <m:rPr/>
          <m:t>n</m:t>
        </m:r>
      </m:oMath>
      <w:r>
        <w:t xml:space="preserve"> 为</w:t>
      </w:r>
      <m:oMath>
        <m:r>
          <m:rPr/>
          <m:t>i</m:t>
        </m:r>
      </m:oMath>
      <w:r>
        <w:t xml:space="preserve"> 时刻的最高价与最低价，对于多头来说，</w:t>
      </w:r>
      <m:oMath>
        <m:sSub>
          <m:sSubPr/>
          <m:e>
            <m:r>
              <m:rPr/>
              <m:t>j</m:t>
            </m:r>
          </m:e>
          <m:sub>
            <m:r>
              <m:rPr/>
              <m:t>0</m:t>
            </m:r>
          </m:sub>
        </m:sSub>
      </m:oMath>
      <w:r>
        <w:t xml:space="preserve"> 为持有多头的开始时刻，给定</w:t>
      </w:r>
      <m:oMath>
        <m:r>
          <m:rPr/>
          <m:t>k</m:t>
        </m:r>
      </m:oMath>
      <w:r>
        <w:t xml:space="preserve"> 时刻 </w:t>
      </w:r>
      <m:oMath>
        <m:r>
          <m:rPr/>
          <m:t>SA</m:t>
        </m:r>
        <m:sSub>
          <m:sSubPr/>
          <m:e>
            <m:r>
              <m:rPr/>
              <m:t>R</m:t>
            </m:r>
          </m:e>
          <m:sub>
            <m:r>
              <m:rPr/>
              <m:t>k</m:t>
            </m:r>
          </m:sub>
        </m:sSub>
      </m:oMath>
      <w:r>
        <w:t xml:space="preserve"> ，有：</w:t>
      </w:r>
    </w:p>
    <w:p>
      <w:pPr>
        <w:pStyle w:val="3"/>
      </w:pPr>
      <m:oMathPara>
        <m:oMathParaPr>
          <m:jc m:val="center"/>
        </m:oMathParaPr>
        <m:oMath>
          <m:r>
            <m:rPr/>
            <m:t>SA</m:t>
          </m:r>
          <m:sSub>
            <m:sSubPr/>
            <m:e>
              <m:r>
                <m:rPr/>
                <m:t>R</m:t>
              </m:r>
            </m:e>
            <m:sub>
              <m:r>
                <m:rPr/>
                <m:t>k</m:t>
              </m:r>
              <m:r>
                <m:rPr>
                  <m:sty m:val="p"/>
                </m:rPr>
                <m:t>+</m:t>
              </m:r>
              <m:r>
                <m:rPr/>
                <m:t>1</m:t>
              </m:r>
            </m:sub>
          </m:sSub>
          <m:r>
            <m:rPr>
              <m:sty m:val="p"/>
            </m:rPr>
            <m:t>=min</m:t>
          </m:r>
          <m:d>
            <m:dPr>
              <m:sepChr m:val=""/>
            </m:dPr>
            <m:e>
              <m:limLow>
                <m:limLowPr/>
                <m:e>
                  <m:r>
                    <m:rPr>
                      <m:sty m:val="p"/>
                    </m:rPr>
                    <m:t>min</m:t>
                  </m:r>
                </m:e>
                <m:lim>
                  <m:r>
                    <m:rPr/>
                    <m:t>k</m:t>
                  </m:r>
                  <m:r>
                    <m:rPr>
                      <m:sty m:val="p"/>
                    </m:rPr>
                    <m:t>−</m:t>
                  </m:r>
                  <m:r>
                    <m:rPr/>
                    <m:t>1</m:t>
                  </m:r>
                  <m:r>
                    <m:rPr>
                      <m:sty m:val="p"/>
                    </m:rPr>
                    <m:t>≤</m:t>
                  </m:r>
                  <m:r>
                    <m:rPr/>
                    <m:t>j</m:t>
                  </m:r>
                  <m:r>
                    <m:rPr>
                      <m:sty m:val="p"/>
                    </m:rPr>
                    <m:t>≤</m:t>
                  </m:r>
                  <m:r>
                    <m:rPr/>
                    <m:t>k</m:t>
                  </m:r>
                </m:lim>
              </m:limLow>
              <m:d>
                <m:dPr>
                  <m:sepChr m:val=""/>
                </m:dPr>
                <m:e>
                  <m:sSub>
                    <m:sSubPr/>
                    <m:e>
                      <m:r>
                        <m:rPr/>
                        <m:t>L</m:t>
                      </m:r>
                    </m:e>
                    <m:sub>
                      <m:r>
                        <m:rPr/>
                        <m:t>j</m:t>
                      </m:r>
                    </m:sub>
                  </m:sSub>
                </m:e>
              </m:d>
              <m:r>
                <m:rPr>
                  <m:sty m:val="p"/>
                </m:rPr>
                <m:t>,</m:t>
              </m:r>
              <m:r>
                <m:rPr/>
                <m:t>SA</m:t>
              </m:r>
              <m:sSub>
                <m:sSubPr/>
                <m:e>
                  <m:r>
                    <m:rPr/>
                    <m:t>R</m:t>
                  </m:r>
                </m:e>
                <m:sub>
                  <m:r>
                    <m:rPr/>
                    <m:t>k</m:t>
                  </m:r>
                </m:sub>
              </m:sSub>
              <m:r>
                <m:rPr>
                  <m:sty m:val="p"/>
                </m:rPr>
                <m:t>+</m:t>
              </m:r>
              <m:d>
                <m:dPr>
                  <m:sepChr m:val=""/>
                </m:dPr>
                <m:e>
                  <m:limLow>
                    <m:limLowPr/>
                    <m:e>
                      <m:r>
                        <m:rPr>
                          <m:sty m:val="p"/>
                        </m:rPr>
                        <m:t>max</m:t>
                      </m:r>
                    </m:e>
                    <m:lim>
                      <m:sSub>
                        <m:sSubPr/>
                        <m:e>
                          <m:r>
                            <m:rPr/>
                            <m:t>j</m:t>
                          </m:r>
                        </m:e>
                        <m:sub>
                          <m:r>
                            <m:rPr/>
                            <m:t>0</m:t>
                          </m:r>
                        </m:sub>
                      </m:sSub>
                      <m:r>
                        <m:rPr>
                          <m:sty m:val="p"/>
                        </m:rPr>
                        <m:t>≤</m:t>
                      </m:r>
                      <m:r>
                        <m:rPr/>
                        <m:t>j</m:t>
                      </m:r>
                      <m:r>
                        <m:rPr>
                          <m:sty m:val="p"/>
                        </m:rPr>
                        <m:t>≤</m:t>
                      </m:r>
                      <m:r>
                        <m:rPr/>
                        <m:t>k</m:t>
                      </m:r>
                    </m:lim>
                  </m:limLow>
                  <m:d>
                    <m:dPr>
                      <m:sepChr m:val=""/>
                    </m:dPr>
                    <m:e>
                      <m:sSub>
                        <m:sSubPr/>
                        <m:e>
                          <m:r>
                            <m:rPr/>
                            <m:t>H</m:t>
                          </m:r>
                        </m:e>
                        <m:sub>
                          <m:r>
                            <m:rPr/>
                            <m:t>j</m:t>
                          </m:r>
                        </m:sub>
                      </m:sSub>
                    </m:e>
                  </m:d>
                  <m:r>
                    <m:rPr>
                      <m:sty m:val="p"/>
                    </m:rPr>
                    <m:t>−</m:t>
                  </m:r>
                  <m:r>
                    <m:rPr/>
                    <m:t>SA</m:t>
                  </m:r>
                  <m:sSub>
                    <m:sSubPr/>
                    <m:e>
                      <m:r>
                        <m:rPr/>
                        <m:t>R</m:t>
                      </m:r>
                    </m:e>
                    <m:sub>
                      <m:r>
                        <m:rPr/>
                        <m:t>k</m:t>
                      </m:r>
                    </m:sub>
                  </m:sSub>
                </m:e>
              </m:d>
              <m:r>
                <m:rPr>
                  <m:sty m:val="p"/>
                </m:rPr>
                <m:t>×</m:t>
              </m:r>
              <m:r>
                <m:rPr/>
                <m:t>AF</m:t>
              </m:r>
            </m:e>
          </m:d>
        </m:oMath>
      </m:oMathPara>
    </w:p>
    <w:p>
      <w:pPr>
        <w:pStyle w:val="23"/>
      </w:pPr>
      <w:r>
        <w:t xml:space="preserve"> </w:t>
      </w:r>
      <m:oMath>
        <m:r>
          <m:rPr/>
          <m:t>AF</m:t>
        </m:r>
      </m:oMath>
      <w:r>
        <w:t xml:space="preserve"> 为加速因子，每当价格创开仓以来新高一次 </w:t>
      </w:r>
      <m:oMath>
        <m:r>
          <m:rPr/>
          <m:t>AF</m:t>
        </m:r>
      </m:oMath>
      <w:r>
        <w:t xml:space="preserve"> 增加</w:t>
      </w:r>
      <m:oMath>
        <m:r>
          <m:rPr/>
          <m:t>stepsize</m:t>
        </m:r>
      </m:oMath>
      <w:r>
        <w:t xml:space="preserve"> , </w:t>
      </w:r>
      <m:oMath>
        <m:r>
          <m:rPr/>
          <m:t>AF</m:t>
        </m:r>
      </m:oMath>
      <w:r>
        <w:t xml:space="preserve"> 上限为 </w:t>
      </w:r>
      <m:oMath>
        <m:r>
          <m:rPr/>
          <m:t>maxaf</m:t>
        </m:r>
      </m:oMath>
      <w:r>
        <w:t xml:space="preserve"> ， </w:t>
      </w:r>
      <m:oMath>
        <m:r>
          <m:rPr/>
          <m:t>stepsize</m:t>
        </m:r>
      </m:oMath>
      <w:r>
        <w:t>，</w:t>
      </w:r>
      <m:oMath>
        <m:r>
          <m:rPr/>
          <m:t>maxaf</m:t>
        </m:r>
      </m:oMath>
      <w:r>
        <w:t xml:space="preserve"> 自定义。</w:t>
      </w:r>
    </w:p>
    <w:p>
      <w:pPr>
        <w:pStyle w:val="3"/>
        <w:ind w:firstLine="480" w:firstLineChars="200"/>
      </w:pPr>
      <w:r>
        <w:t>以多头信号为例，实质上是将立场家向进场以来创出的新高价逐步靠拢的过程，靠拢的速度取决于创出新高的次数，由加速因子控制，创新高的次数越多表明趋势越强，此时离场价由于加速因子的增大而迅速跟进，这样，当价格向下时，由于离场价与最高价相差不大，会保护既有浮动盈利。</w:t>
      </w:r>
    </w:p>
    <w:p>
      <w:pPr>
        <w:pStyle w:val="3"/>
        <w:ind w:firstLine="480" w:firstLineChars="200"/>
      </w:pPr>
      <w:r>
        <w:t>本文计算公式为：</w:t>
      </w:r>
    </w:p>
    <w:p>
      <w:pPr>
        <w:pStyle w:val="3"/>
      </w:pPr>
      <w:r>
        <w:t xml:space="preserve">记 </w:t>
      </w:r>
      <m:oMath>
        <m:sSub>
          <m:sSubPr/>
          <m:e>
            <m:r>
              <m:rPr/>
              <m:t>ℎ</m:t>
            </m:r>
          </m:e>
          <m:sub>
            <m:r>
              <m:rPr/>
              <m:t>i</m:t>
            </m:r>
          </m:sub>
        </m:sSub>
        <m:r>
          <m:rPr>
            <m:sty m:val="p"/>
          </m:rPr>
          <m:t>,</m:t>
        </m:r>
        <m:sSub>
          <m:sSubPr/>
          <m:e>
            <m:r>
              <m:rPr/>
              <m:t>l</m:t>
            </m:r>
          </m:e>
          <m:sub>
            <m:r>
              <m:rPr/>
              <m:t>i</m:t>
            </m:r>
          </m:sub>
        </m:sSub>
      </m:oMath>
      <w:r>
        <w:t xml:space="preserve"> 为 </w:t>
      </w:r>
      <m:oMath>
        <m:r>
          <m:rPr/>
          <m:t>i</m:t>
        </m:r>
      </m:oMath>
      <w:r>
        <w:t xml:space="preserve"> 时刻的最高价、最低价, </w:t>
      </w:r>
      <m:oMath>
        <m:r>
          <m:rPr/>
          <m:t>i</m:t>
        </m:r>
        <m:r>
          <m:rPr>
            <m:sty m:val="p"/>
          </m:rPr>
          <m:t>=</m:t>
        </m:r>
        <m:r>
          <m:rPr/>
          <m:t>1</m:t>
        </m:r>
        <m:r>
          <m:rPr>
            <m:sty m:val="p"/>
          </m:rPr>
          <m:t>,</m:t>
        </m:r>
        <m:r>
          <m:rPr/>
          <m:t>2</m:t>
        </m:r>
        <m:r>
          <m:rPr>
            <m:sty m:val="p"/>
          </m:rPr>
          <m:t>,⋯,</m:t>
        </m:r>
        <m:r>
          <m:rPr/>
          <m:t>n</m:t>
        </m:r>
        <m:r>
          <m:rPr>
            <m:sty m:val="p"/>
          </m:rPr>
          <m:t>,</m:t>
        </m:r>
        <m:sSub>
          <m:sSubPr/>
          <m:e>
            <m:r>
              <m:rPr/>
              <m:t>j</m:t>
            </m:r>
          </m:e>
          <m:sub>
            <m:r>
              <m:rPr/>
              <m:t>0</m:t>
            </m:r>
          </m:sub>
        </m:sSub>
      </m:oMath>
      <w:r>
        <w:t xml:space="preserve"> 为开仓时点, 给定 </w:t>
      </w:r>
      <m:oMath>
        <m:r>
          <m:rPr/>
          <m:t>k</m:t>
        </m:r>
      </m:oMath>
      <w:r>
        <w:t xml:space="preserve"> 时刻 的离场价 </w:t>
      </w:r>
      <m:oMath>
        <m:r>
          <m:rPr/>
          <m:t>v</m:t>
        </m:r>
        <m:sSub>
          <m:sSubPr/>
          <m:e>
            <m:r>
              <m:rPr/>
              <m:t>C</m:t>
            </m:r>
          </m:e>
          <m:sub>
            <m:r>
              <m:rPr/>
              <m:t>k</m:t>
            </m:r>
          </m:sub>
        </m:sSub>
      </m:oMath>
      <w:r>
        <w:t>, 则：</w:t>
      </w:r>
      <w:r>
        <w:br w:type="textWrapping"/>
      </w:r>
      <w:r>
        <w:t xml:space="preserve">多头头寸: </w:t>
      </w:r>
      <m:oMath>
        <m:r>
          <m:rPr/>
          <m:t>v</m:t>
        </m:r>
        <m:sSub>
          <m:sSubPr/>
          <m:e>
            <m:r>
              <m:rPr/>
              <m:t>C</m:t>
            </m:r>
          </m:e>
          <m:sub>
            <m:r>
              <m:rPr/>
              <m:t>k</m:t>
            </m:r>
            <m:r>
              <m:rPr>
                <m:sty m:val="p"/>
              </m:rPr>
              <m:t>+</m:t>
            </m:r>
            <m:r>
              <m:rPr/>
              <m:t>1</m:t>
            </m:r>
          </m:sub>
        </m:sSub>
        <m:r>
          <m:rPr>
            <m:sty m:val="p"/>
          </m:rPr>
          <m:t>=</m:t>
        </m:r>
        <m:r>
          <m:rPr/>
          <m:t>v</m:t>
        </m:r>
        <m:sSub>
          <m:sSubPr/>
          <m:e>
            <m:r>
              <m:rPr/>
              <m:t>C</m:t>
            </m:r>
          </m:e>
          <m:sub>
            <m:r>
              <m:rPr/>
              <m:t>k</m:t>
            </m:r>
          </m:sub>
        </m:sSub>
        <m:r>
          <m:rPr>
            <m:sty m:val="p"/>
          </m:rPr>
          <m:t>+</m:t>
        </m:r>
        <m:d>
          <m:dPr>
            <m:sepChr m:val=""/>
          </m:dPr>
          <m:e>
            <m:sSub>
              <m:sSubPr/>
              <m:e>
                <m:r>
                  <m:rPr>
                    <m:sty m:val="p"/>
                  </m:rPr>
                  <m:t>max</m:t>
                </m:r>
              </m:e>
              <m:sub>
                <m:sSub>
                  <m:sSubPr/>
                  <m:e>
                    <m:r>
                      <m:rPr/>
                      <m:t>j</m:t>
                    </m:r>
                  </m:e>
                  <m:sub>
                    <m:r>
                      <m:rPr/>
                      <m:t>0</m:t>
                    </m:r>
                  </m:sub>
                </m:sSub>
                <m:r>
                  <m:rPr>
                    <m:sty m:val="p"/>
                  </m:rPr>
                  <m:t>≤</m:t>
                </m:r>
                <m:r>
                  <m:rPr/>
                  <m:t>j</m:t>
                </m:r>
                <m:r>
                  <m:rPr>
                    <m:sty m:val="p"/>
                  </m:rPr>
                  <m:t>≤</m:t>
                </m:r>
                <m:r>
                  <m:rPr/>
                  <m:t>k</m:t>
                </m:r>
              </m:sub>
            </m:sSub>
            <m:d>
              <m:dPr>
                <m:sepChr m:val=""/>
              </m:dPr>
              <m:e>
                <m:sSub>
                  <m:sSubPr/>
                  <m:e>
                    <m:r>
                      <m:rPr/>
                      <m:t>ℎ</m:t>
                    </m:r>
                  </m:e>
                  <m:sub>
                    <m:r>
                      <m:rPr/>
                      <m:t>j</m:t>
                    </m:r>
                  </m:sub>
                </m:sSub>
              </m:e>
            </m:d>
            <m:r>
              <m:rPr>
                <m:sty m:val="p"/>
              </m:rPr>
              <m:t>−</m:t>
            </m:r>
            <m:r>
              <m:rPr/>
              <m:t>v</m:t>
            </m:r>
            <m:sSub>
              <m:sSubPr/>
              <m:e>
                <m:r>
                  <m:rPr/>
                  <m:t>C</m:t>
                </m:r>
              </m:e>
              <m:sub>
                <m:r>
                  <m:rPr/>
                  <m:t>k</m:t>
                </m:r>
              </m:sub>
            </m:sSub>
          </m:e>
        </m:d>
        <m:r>
          <m:rPr>
            <m:sty m:val="p"/>
          </m:rPr>
          <m:t>×</m:t>
        </m:r>
        <m:r>
          <m:rPr/>
          <m:t>AF</m:t>
        </m:r>
      </m:oMath>
      <w:r>
        <w:br w:type="textWrapping"/>
      </w:r>
      <w:r>
        <w:t xml:space="preserve">空头头寸: </w:t>
      </w:r>
      <m:oMath>
        <m:r>
          <m:rPr/>
          <m:t>v</m:t>
        </m:r>
        <m:sSub>
          <m:sSubPr/>
          <m:e>
            <m:r>
              <m:rPr/>
              <m:t>C</m:t>
            </m:r>
          </m:e>
          <m:sub>
            <m:r>
              <m:rPr/>
              <m:t>k</m:t>
            </m:r>
            <m:r>
              <m:rPr>
                <m:sty m:val="p"/>
              </m:rPr>
              <m:t>+</m:t>
            </m:r>
            <m:r>
              <m:rPr/>
              <m:t>1</m:t>
            </m:r>
          </m:sub>
        </m:sSub>
        <m:r>
          <m:rPr>
            <m:sty m:val="p"/>
          </m:rPr>
          <m:t>=</m:t>
        </m:r>
        <m:r>
          <m:rPr/>
          <m:t>v</m:t>
        </m:r>
        <m:sSub>
          <m:sSubPr/>
          <m:e>
            <m:r>
              <m:rPr/>
              <m:t>C</m:t>
            </m:r>
          </m:e>
          <m:sub>
            <m:r>
              <m:rPr/>
              <m:t>k</m:t>
            </m:r>
          </m:sub>
        </m:sSub>
        <m:r>
          <m:rPr>
            <m:sty m:val="p"/>
          </m:rPr>
          <m:t>−</m:t>
        </m:r>
        <m:d>
          <m:dPr>
            <m:sepChr m:val=""/>
          </m:dPr>
          <m:e>
            <m:r>
              <m:rPr/>
              <m:t>v</m:t>
            </m:r>
            <m:sSub>
              <m:sSubPr/>
              <m:e>
                <m:r>
                  <m:rPr/>
                  <m:t>C</m:t>
                </m:r>
              </m:e>
              <m:sub>
                <m:r>
                  <m:rPr/>
                  <m:t>k</m:t>
                </m:r>
              </m:sub>
            </m:sSub>
            <m:r>
              <m:rPr>
                <m:sty m:val="p"/>
              </m:rPr>
              <m:t>−</m:t>
            </m:r>
            <m:sSub>
              <m:sSubPr/>
              <m:e>
                <m:r>
                  <m:rPr>
                    <m:sty m:val="p"/>
                  </m:rPr>
                  <m:t>min</m:t>
                </m:r>
              </m:e>
              <m:sub>
                <m:sSub>
                  <m:sSubPr/>
                  <m:e>
                    <m:r>
                      <m:rPr/>
                      <m:t>j</m:t>
                    </m:r>
                  </m:e>
                  <m:sub>
                    <m:r>
                      <m:rPr/>
                      <m:t>0</m:t>
                    </m:r>
                  </m:sub>
                </m:sSub>
                <m:r>
                  <m:rPr>
                    <m:sty m:val="p"/>
                  </m:rPr>
                  <m:t>≤</m:t>
                </m:r>
                <m:r>
                  <m:rPr/>
                  <m:t>j</m:t>
                </m:r>
                <m:r>
                  <m:rPr>
                    <m:sty m:val="p"/>
                  </m:rPr>
                  <m:t>≤</m:t>
                </m:r>
                <m:r>
                  <m:rPr/>
                  <m:t>k</m:t>
                </m:r>
              </m:sub>
            </m:sSub>
            <m:d>
              <m:dPr>
                <m:sepChr m:val=""/>
              </m:dPr>
              <m:e>
                <m:sSub>
                  <m:sSubPr/>
                  <m:e>
                    <m:r>
                      <m:rPr/>
                      <m:t>L</m:t>
                    </m:r>
                  </m:e>
                  <m:sub>
                    <m:r>
                      <m:rPr/>
                      <m:t>j</m:t>
                    </m:r>
                  </m:sub>
                </m:sSub>
              </m:e>
            </m:d>
          </m:e>
        </m:d>
        <m:r>
          <m:rPr>
            <m:sty m:val="p"/>
          </m:rPr>
          <m:t>×</m:t>
        </m:r>
        <m:r>
          <m:rPr/>
          <m:t>AF</m:t>
        </m:r>
      </m:oMath>
    </w:p>
    <w:p>
      <w:pPr>
        <w:pStyle w:val="3"/>
        <w:ind w:firstLine="480" w:firstLineChars="200"/>
      </w:pPr>
      <w:r>
        <w:t>根据研报，</w:t>
      </w:r>
      <m:oMath>
        <m:r>
          <m:rPr/>
          <m:t>AF</m:t>
        </m:r>
      </m:oMath>
      <w:r>
        <w:t xml:space="preserve"> 初始值为0，每当市场创出自开仓以来新高或者新低一次，</w:t>
      </w:r>
      <m:oMath>
        <m:r>
          <m:rPr/>
          <m:t>stepsize</m:t>
        </m:r>
      </m:oMath>
      <w:r>
        <w:t xml:space="preserve"> 增加0.01, </w:t>
      </w:r>
      <m:oMath>
        <m:r>
          <m:rPr/>
          <m:t>AF</m:t>
        </m:r>
      </m:oMath>
      <w:r>
        <w:t xml:space="preserve"> 上限 </w:t>
      </w:r>
      <m:oMath>
        <m:r>
          <m:rPr/>
          <m:t>maxaf</m:t>
        </m:r>
      </m:oMath>
      <w:r>
        <w:t xml:space="preserve"> 为0.1。</w:t>
      </w:r>
    </w:p>
    <w:p>
      <w:pPr>
        <w:pStyle w:val="8"/>
      </w:pPr>
      <w:bookmarkStart w:id="4" w:name="图1判断交易流程图"/>
      <w:r>
        <w:t>图1：判断交易流程图</w:t>
      </w:r>
    </w:p>
    <w:p>
      <w:pPr>
        <w:pStyle w:val="34"/>
      </w:pPr>
      <w:r>
        <w:drawing>
          <wp:inline distT="0" distB="0" distL="114300" distR="114300">
            <wp:extent cx="5334000" cy="4039235"/>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5"/>
                    <a:stretch>
                      <a:fillRect/>
                    </a:stretch>
                  </pic:blipFill>
                  <pic:spPr>
                    <a:xfrm>
                      <a:off x="0" y="0"/>
                      <a:ext cx="5334000" cy="4039788"/>
                    </a:xfrm>
                    <a:prstGeom prst="rect">
                      <a:avLst/>
                    </a:prstGeom>
                    <a:noFill/>
                    <a:ln w="9525">
                      <a:noFill/>
                    </a:ln>
                  </pic:spPr>
                </pic:pic>
              </a:graphicData>
            </a:graphic>
          </wp:inline>
        </w:drawing>
      </w:r>
    </w:p>
    <w:p>
      <w:pPr>
        <w:pStyle w:val="32"/>
      </w:pPr>
    </w:p>
    <w:bookmarkEnd w:id="4"/>
    <w:p>
      <w:pPr>
        <w:pStyle w:val="8"/>
      </w:pPr>
      <w:bookmarkStart w:id="5" w:name="图2跟踪头寸策略计算流程图以开多仓为例）"/>
      <w:r>
        <w:t>图2：跟踪头寸策略计算流程图（以开多仓为例）</w:t>
      </w:r>
    </w:p>
    <w:p>
      <w:pPr>
        <w:pStyle w:val="34"/>
      </w:pPr>
      <w:r>
        <w:drawing>
          <wp:inline distT="0" distB="0" distL="114300" distR="114300">
            <wp:extent cx="5334000" cy="2825750"/>
            <wp:effectExtent l="0" t="0" r="0" b="0"/>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6"/>
                    <a:stretch>
                      <a:fillRect/>
                    </a:stretch>
                  </pic:blipFill>
                  <pic:spPr>
                    <a:xfrm>
                      <a:off x="0" y="0"/>
                      <a:ext cx="5334000" cy="2825792"/>
                    </a:xfrm>
                    <a:prstGeom prst="rect">
                      <a:avLst/>
                    </a:prstGeom>
                    <a:noFill/>
                    <a:ln w="9525">
                      <a:noFill/>
                    </a:ln>
                  </pic:spPr>
                </pic:pic>
              </a:graphicData>
            </a:graphic>
          </wp:inline>
        </w:drawing>
      </w:r>
    </w:p>
    <w:p>
      <w:pPr>
        <w:pStyle w:val="32"/>
      </w:pPr>
    </w:p>
    <w:bookmarkEnd w:id="1"/>
    <w:bookmarkEnd w:id="3"/>
    <w:bookmarkEnd w:id="5"/>
    <w:p>
      <w:pPr>
        <w:pStyle w:val="5"/>
        <w:rPr>
          <w:color w:val="auto"/>
          <w:sz w:val="32"/>
          <w:szCs w:val="32"/>
        </w:rPr>
      </w:pPr>
      <w:bookmarkStart w:id="6" w:name="二实证分析"/>
      <w:r>
        <w:rPr>
          <w:color w:val="auto"/>
          <w:sz w:val="32"/>
          <w:szCs w:val="32"/>
        </w:rPr>
        <w:t>二、实证分析</w:t>
      </w:r>
    </w:p>
    <w:p>
      <w:pPr>
        <w:pStyle w:val="23"/>
      </w:pPr>
      <w:r>
        <w:rPr>
          <w:b/>
          <w:bCs/>
        </w:rPr>
        <w:t>（1）数据选取</w:t>
      </w:r>
      <w:r>
        <w:t>：</w:t>
      </w:r>
    </w:p>
    <w:p>
      <w:pPr>
        <w:pStyle w:val="3"/>
        <w:ind w:firstLine="480" w:firstLineChars="200"/>
      </w:pPr>
      <w:r>
        <w:t>本实证选取沪深300股指期货合约加权平均（IF8888）在2010年4月16日到2011年12月09日的5分钟K线为样本集。评价指标考察：累计收益，多仓空仓胜率、持有期、最大回撤、年化收益、年华标准差、夏普比率等。</w:t>
      </w:r>
    </w:p>
    <w:p>
      <w:pPr>
        <w:pStyle w:val="3"/>
      </w:pPr>
      <w:r>
        <w:rPr>
          <w:b/>
          <w:bCs/>
        </w:rPr>
        <w:t>（2）交易假设</w:t>
      </w:r>
      <w:r>
        <w:t>：</w:t>
      </w:r>
    </w:p>
    <w:p>
      <w:pPr>
        <w:pStyle w:val="3"/>
        <w:ind w:firstLine="480" w:firstLineChars="200"/>
      </w:pPr>
      <w:r>
        <w:t>设置单边冲击成本0.4个指数点：</w:t>
      </w:r>
    </w:p>
    <w:p>
      <w:pPr>
        <w:pStyle w:val="34"/>
      </w:pPr>
      <w:r>
        <w:drawing>
          <wp:inline distT="0" distB="0" distL="114300" distR="114300">
            <wp:extent cx="5334000" cy="1797685"/>
            <wp:effectExtent l="0" t="0" r="0" b="0"/>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a:picLocks noChangeAspect="1" noChangeArrowheads="1"/>
                    </pic:cNvPicPr>
                  </pic:nvPicPr>
                  <pic:blipFill>
                    <a:blip r:embed="rId7"/>
                    <a:stretch>
                      <a:fillRect/>
                    </a:stretch>
                  </pic:blipFill>
                  <pic:spPr>
                    <a:xfrm>
                      <a:off x="0" y="0"/>
                      <a:ext cx="5334000" cy="1797865"/>
                    </a:xfrm>
                    <a:prstGeom prst="rect">
                      <a:avLst/>
                    </a:prstGeom>
                    <a:noFill/>
                    <a:ln w="9525">
                      <a:noFill/>
                    </a:ln>
                  </pic:spPr>
                </pic:pic>
              </a:graphicData>
            </a:graphic>
          </wp:inline>
        </w:drawing>
      </w:r>
    </w:p>
    <w:p>
      <w:pPr>
        <w:pStyle w:val="32"/>
      </w:pPr>
    </w:p>
    <w:p>
      <w:pPr>
        <w:pStyle w:val="3"/>
        <w:ind w:firstLine="480" w:firstLineChars="200"/>
      </w:pPr>
      <w:r>
        <w:t>此外单边手续费万分之一，开仓价格为信号发生后第一根K线的开盘价格。</w:t>
      </w:r>
    </w:p>
    <w:p>
      <w:pPr>
        <w:pStyle w:val="3"/>
        <w:ind w:firstLine="480" w:firstLineChars="200"/>
      </w:pPr>
      <w:r>
        <w:t>加入止损机制——头寸跟踪策略，触及止损机制时，平仓止损，再根据之后的交易信号值开仓，若当日未发生止损，则收盘15:00强制平仓。</w:t>
      </w:r>
    </w:p>
    <w:p>
      <w:pPr>
        <w:pStyle w:val="3"/>
      </w:pPr>
      <w:r>
        <w:rPr>
          <w:b/>
          <w:bCs/>
        </w:rPr>
        <w:t>（3）回测结果：</w:t>
      </w:r>
    </w:p>
    <w:p>
      <w:pPr>
        <w:pStyle w:val="36"/>
        <w:pBdr>
          <w:top w:val="single" w:color="auto" w:sz="4" w:space="0"/>
          <w:left w:val="single" w:color="auto" w:sz="4" w:space="0"/>
          <w:bottom w:val="single" w:color="auto" w:sz="4" w:space="0"/>
          <w:right w:val="single" w:color="auto" w:sz="4" w:space="0"/>
        </w:pBdr>
        <w:jc w:val="center"/>
      </w:pPr>
      <w:r>
        <w:rPr>
          <w:rStyle w:val="35"/>
        </w:rPr>
        <w:t>累计收益       31.87%
</w:t>
      </w:r>
      <w:r>
        <w:br w:type="textWrapping"/>
      </w:r>
      <w:r>
        <w:rPr>
          <w:rStyle w:val="35"/>
        </w:rPr>
        <w:t>多仓次数          403
</w:t>
      </w:r>
      <w:r>
        <w:br w:type="textWrapping"/>
      </w:r>
      <w:r>
        <w:rPr>
          <w:rStyle w:val="35"/>
        </w:rPr>
        <w:t>多仓成功次数        101
</w:t>
      </w:r>
      <w:r>
        <w:br w:type="textWrapping"/>
      </w:r>
      <w:r>
        <w:rPr>
          <w:rStyle w:val="35"/>
        </w:rPr>
        <w:t>多仓胜率       25.06%
</w:t>
      </w:r>
      <w:r>
        <w:br w:type="textWrapping"/>
      </w:r>
      <w:r>
        <w:rPr>
          <w:rStyle w:val="35"/>
        </w:rPr>
        <w:t>多仓平均持有期     10.28
</w:t>
      </w:r>
      <w:r>
        <w:br w:type="textWrapping"/>
      </w:r>
      <w:r>
        <w:rPr>
          <w:rStyle w:val="35"/>
        </w:rPr>
        <w:t>空仓次数          541
</w:t>
      </w:r>
      <w:r>
        <w:br w:type="textWrapping"/>
      </w:r>
      <w:r>
        <w:rPr>
          <w:rStyle w:val="35"/>
        </w:rPr>
        <w:t>空仓成功次数        112
</w:t>
      </w:r>
      <w:r>
        <w:br w:type="textWrapping"/>
      </w:r>
      <w:r>
        <w:rPr>
          <w:rStyle w:val="35"/>
        </w:rPr>
        <w:t>空仓胜率       20.70%
</w:t>
      </w:r>
      <w:r>
        <w:br w:type="textWrapping"/>
      </w:r>
      <w:r>
        <w:rPr>
          <w:rStyle w:val="35"/>
        </w:rPr>
        <w:t>空仓平均持有期      9.50
</w:t>
      </w:r>
      <w:r>
        <w:br w:type="textWrapping"/>
      </w:r>
      <w:r>
        <w:rPr>
          <w:rStyle w:val="35"/>
        </w:rPr>
        <w:t>周期胜率       46.48%
</w:t>
      </w:r>
      <w:r>
        <w:br w:type="textWrapping"/>
      </w:r>
      <w:r>
        <w:rPr>
          <w:rStyle w:val="35"/>
        </w:rPr>
        <w:t>最大回撤       11.45%
</w:t>
      </w:r>
      <w:r>
        <w:br w:type="textWrapping"/>
      </w:r>
      <w:r>
        <w:rPr>
          <w:rStyle w:val="35"/>
        </w:rPr>
        <w:t>年化收益/最大回撤    1.60
</w:t>
      </w:r>
      <w:r>
        <w:br w:type="textWrapping"/>
      </w:r>
      <w:r>
        <w:rPr>
          <w:rStyle w:val="35"/>
        </w:rPr>
        <w:t>年化收益       18.26%
</w:t>
      </w:r>
      <w:r>
        <w:br w:type="textWrapping"/>
      </w:r>
      <w:r>
        <w:rPr>
          <w:rStyle w:val="35"/>
        </w:rPr>
        <w:t>年化标准差      14.68%
</w:t>
      </w:r>
      <w:r>
        <w:br w:type="textWrapping"/>
      </w:r>
      <w:r>
        <w:rPr>
          <w:rStyle w:val="35"/>
        </w:rPr>
        <w:t>年化夏普         1.24</w:t>
      </w:r>
    </w:p>
    <w:p>
      <w:pPr>
        <w:pStyle w:val="8"/>
      </w:pPr>
      <w:bookmarkStart w:id="7" w:name="图3指数期货与收益红线为收益蓝线为指数期货）"/>
      <w:r>
        <w:t>图3：指数期货与收益（红线为收益，蓝线为指数期货）</w:t>
      </w:r>
    </w:p>
    <w:p>
      <w:pPr>
        <w:pStyle w:val="34"/>
      </w:pPr>
      <w:r>
        <w:drawing>
          <wp:inline distT="0" distB="0" distL="114300" distR="114300">
            <wp:extent cx="5334000" cy="2527935"/>
            <wp:effectExtent l="0" t="0" r="0" b="0"/>
            <wp:docP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a:picLocks noChangeAspect="1" noChangeArrowheads="1"/>
                    </pic:cNvPicPr>
                  </pic:nvPicPr>
                  <pic:blipFill>
                    <a:blip r:embed="rId8"/>
                    <a:stretch>
                      <a:fillRect/>
                    </a:stretch>
                  </pic:blipFill>
                  <pic:spPr>
                    <a:xfrm>
                      <a:off x="0" y="0"/>
                      <a:ext cx="5334000" cy="2528410"/>
                    </a:xfrm>
                    <a:prstGeom prst="rect">
                      <a:avLst/>
                    </a:prstGeom>
                    <a:noFill/>
                    <a:ln w="9525">
                      <a:noFill/>
                    </a:ln>
                  </pic:spPr>
                </pic:pic>
              </a:graphicData>
            </a:graphic>
          </wp:inline>
        </w:drawing>
      </w:r>
    </w:p>
    <w:p>
      <w:pPr>
        <w:pStyle w:val="32"/>
      </w:pPr>
    </w:p>
    <w:bookmarkEnd w:id="7"/>
    <w:p>
      <w:pPr>
        <w:pStyle w:val="8"/>
      </w:pPr>
      <w:bookmarkStart w:id="8" w:name="图4收益"/>
      <w:r>
        <w:t>图4：收益</w:t>
      </w:r>
    </w:p>
    <w:p>
      <w:pPr>
        <w:pStyle w:val="34"/>
      </w:pPr>
      <w:r>
        <w:drawing>
          <wp:inline distT="0" distB="0" distL="114300" distR="114300">
            <wp:extent cx="5334000" cy="1775460"/>
            <wp:effectExtent l="0" t="0" r="0" b="0"/>
            <wp:docPr id="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pic:cNvPicPr>
                      <a:picLocks noChangeAspect="1" noChangeArrowheads="1"/>
                    </pic:cNvPicPr>
                  </pic:nvPicPr>
                  <pic:blipFill>
                    <a:blip r:embed="rId9"/>
                    <a:stretch>
                      <a:fillRect/>
                    </a:stretch>
                  </pic:blipFill>
                  <pic:spPr>
                    <a:xfrm>
                      <a:off x="0" y="0"/>
                      <a:ext cx="5334000" cy="1775705"/>
                    </a:xfrm>
                    <a:prstGeom prst="rect">
                      <a:avLst/>
                    </a:prstGeom>
                    <a:noFill/>
                    <a:ln w="9525">
                      <a:noFill/>
                    </a:ln>
                  </pic:spPr>
                </pic:pic>
              </a:graphicData>
            </a:graphic>
          </wp:inline>
        </w:drawing>
      </w:r>
    </w:p>
    <w:p>
      <w:pPr>
        <w:pStyle w:val="32"/>
      </w:pPr>
    </w:p>
    <w:bookmarkEnd w:id="6"/>
    <w:bookmarkEnd w:id="8"/>
    <w:p>
      <w:pPr>
        <w:pStyle w:val="5"/>
        <w:rPr>
          <w:color w:val="auto"/>
          <w:sz w:val="32"/>
          <w:szCs w:val="32"/>
        </w:rPr>
      </w:pPr>
      <w:bookmarkStart w:id="9" w:name="三参数选择"/>
      <w:r>
        <w:rPr>
          <w:color w:val="auto"/>
          <w:sz w:val="32"/>
          <w:szCs w:val="32"/>
        </w:rPr>
        <w:t>三、参数选择</w:t>
      </w:r>
    </w:p>
    <w:p>
      <w:pPr>
        <w:pStyle w:val="23"/>
        <w:ind w:firstLine="480" w:firstLineChars="200"/>
      </w:pPr>
      <w:r>
        <w:t>对不同的cL和sL进行收益率计算，其中sL取值2,3, cL取值6-20，则有如下收益率：</w:t>
      </w:r>
      <w:bookmarkStart w:id="10" w:name="表1不同参数下累计收益率"/>
    </w:p>
    <w:p>
      <w:pPr>
        <w:pStyle w:val="8"/>
      </w:pPr>
      <w:r>
        <w:t>表1：不同参数下累计收益率</w:t>
      </w:r>
    </w:p>
    <w:p>
      <w:pPr>
        <w:pStyle w:val="34"/>
      </w:pPr>
      <w:r>
        <w:drawing>
          <wp:inline distT="0" distB="0" distL="114300" distR="114300">
            <wp:extent cx="1235710" cy="4190365"/>
            <wp:effectExtent l="0" t="0" r="13970" b="635"/>
            <wp:docPr id="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a:picLocks noChangeAspect="1" noChangeArrowheads="1"/>
                    </pic:cNvPicPr>
                  </pic:nvPicPr>
                  <pic:blipFill>
                    <a:blip r:embed="rId10"/>
                    <a:stretch>
                      <a:fillRect/>
                    </a:stretch>
                  </pic:blipFill>
                  <pic:spPr>
                    <a:xfrm>
                      <a:off x="0" y="0"/>
                      <a:ext cx="1235710" cy="4190365"/>
                    </a:xfrm>
                    <a:prstGeom prst="rect">
                      <a:avLst/>
                    </a:prstGeom>
                    <a:noFill/>
                    <a:ln w="9525">
                      <a:noFill/>
                    </a:ln>
                  </pic:spPr>
                </pic:pic>
              </a:graphicData>
            </a:graphic>
          </wp:inline>
        </w:drawing>
      </w:r>
    </w:p>
    <w:p>
      <w:pPr>
        <w:pStyle w:val="32"/>
      </w:pPr>
    </w:p>
    <w:p>
      <w:pPr>
        <w:pStyle w:val="34"/>
      </w:pPr>
      <w:r>
        <w:drawing>
          <wp:inline distT="0" distB="0" distL="114300" distR="114300">
            <wp:extent cx="1387475" cy="1898015"/>
            <wp:effectExtent l="0" t="0" r="14605" b="6985"/>
            <wp:docP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a:picLocks noChangeAspect="1" noChangeArrowheads="1"/>
                    </pic:cNvPicPr>
                  </pic:nvPicPr>
                  <pic:blipFill>
                    <a:blip r:embed="rId11"/>
                    <a:stretch>
                      <a:fillRect/>
                    </a:stretch>
                  </pic:blipFill>
                  <pic:spPr>
                    <a:xfrm>
                      <a:off x="0" y="0"/>
                      <a:ext cx="1387475" cy="1898015"/>
                    </a:xfrm>
                    <a:prstGeom prst="rect">
                      <a:avLst/>
                    </a:prstGeom>
                    <a:noFill/>
                    <a:ln w="9525">
                      <a:noFill/>
                    </a:ln>
                  </pic:spPr>
                </pic:pic>
              </a:graphicData>
            </a:graphic>
          </wp:inline>
        </w:drawing>
      </w:r>
    </w:p>
    <w:p>
      <w:pPr>
        <w:pStyle w:val="3"/>
      </w:pPr>
      <w:r>
        <w:t>可见仍有其他参数取值的收益率高于默认的取值。</w:t>
      </w:r>
    </w:p>
    <w:bookmarkEnd w:id="0"/>
    <w:bookmarkEnd w:id="9"/>
    <w:bookmarkEnd w:id="10"/>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docVars>
    <w:docVar w:name="commondata" w:val="eyJoZGlkIjoiZTllYTY3ZjkwZGYzNDZjNWE3OTU1YzQwMTFkYzRlMTYifQ=="/>
  </w:docVars>
  <w:rsids>
    <w:rsidRoot w:val="00000000"/>
    <w:rsid w:val="2B6E6907"/>
    <w:rsid w:val="3FBE627D"/>
    <w:rsid w:val="7D0C065F"/>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qFormat/>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style>
  <w:style w:type="character" w:customStyle="1" w:styleId="61">
    <w:name w:val="ExtensionTok"/>
    <w:basedOn w:val="35"/>
    <w:qFormat/>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qFormat/>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1601</Words>
  <Characters>1842</Characters>
  <Lines>12</Lines>
  <Paragraphs>8</Paragraphs>
  <TotalTime>9</TotalTime>
  <ScaleCrop>false</ScaleCrop>
  <LinksUpToDate>false</LinksUpToDate>
  <CharactersWithSpaces>1996</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2022-05-12T04:29:00Z</dcterms:created>
  <dc:creator>WPS_1507726448</dc:creator>
  <cp:lastModifiedBy>WPS_1507726448</cp:lastModifiedBy>
  <dcterms:modified xsi:type="dcterms:W3CDTF">2022-07-22T01:38:57Z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C9613B348A6E44BB8127E94D3163C4BD</vt:lpwstr>
  </property>
</Properties>
</file>