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color w:val="auto"/>
          <w:sz w:val="36"/>
          <w:szCs w:val="36"/>
        </w:rPr>
      </w:pPr>
      <w:bookmarkStart w:id="0" w:name="研报复现5六基于gftd的期指日内程序化交易策略"/>
      <w:r>
        <w:rPr>
          <w:color w:val="auto"/>
          <w:sz w:val="36"/>
          <w:szCs w:val="36"/>
        </w:rPr>
        <w:t>研报复现5：六：基于GFTD的期指日内程序化交易策略</w:t>
      </w:r>
    </w:p>
    <w:p>
      <w:pPr>
        <w:pStyle w:val="5"/>
        <w:rPr>
          <w:color w:val="auto"/>
          <w:sz w:val="32"/>
          <w:szCs w:val="32"/>
        </w:rPr>
      </w:pPr>
      <w:bookmarkStart w:id="1" w:name="一策略概述"/>
      <w:r>
        <w:rPr>
          <w:color w:val="auto"/>
          <w:sz w:val="32"/>
          <w:szCs w:val="32"/>
        </w:rPr>
        <w:t>一、策略概述</w:t>
      </w:r>
    </w:p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2" w:name="X798c28e0dc355314ec81b0cb7964f06397b6bab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1.1 GFTD模型</w:t>
      </w:r>
    </w:p>
    <w:p>
      <w:pPr>
        <w:pStyle w:val="23"/>
        <w:ind w:firstLine="480" w:firstLineChars="200"/>
      </w:pPr>
      <w:r>
        <w:t>设</w:t>
      </w:r>
      <m:oMath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,...,</m:t>
        </m:r>
        <m:sSub>
          <m:sSubPr/>
          <m:e>
            <m:r>
              <m:rPr/>
              <m:t>c</m:t>
            </m:r>
          </m:e>
          <m:sub>
            <m:r>
              <m:rPr/>
              <m:t>n</m:t>
            </m:r>
          </m:sub>
        </m:sSub>
      </m:oMath>
      <w:r>
        <w:t xml:space="preserve"> 为股指期货日内某一频率下的K线收盘价序列，</w:t>
      </w:r>
      <m:oMath>
        <m:sSub>
          <m:sSubPr/>
          <m:e>
            <m:r>
              <m:rPr/>
              <m:t>ℎ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ℎ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,...,</m:t>
        </m:r>
        <m:sSub>
          <m:sSubPr/>
          <m:e>
            <m:r>
              <m:rPr/>
              <m:t>ℎ</m:t>
            </m:r>
          </m:e>
          <m:sub>
            <m:r>
              <m:rPr/>
              <m:t>n</m:t>
            </m:r>
          </m:sub>
        </m:sSub>
      </m:oMath>
      <w:r>
        <w:t xml:space="preserve"> 为股指期货日内某一频率下的K线最高价序列，</w:t>
      </w:r>
      <m:oMath>
        <m:sSub>
          <m:sSubPr/>
          <m:e>
            <m:r>
              <m:rPr/>
              <m:t>l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l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,...,</m:t>
        </m:r>
        <m:sSub>
          <m:sSubPr/>
          <m:e>
            <m:r>
              <m:rPr/>
              <m:t>l</m:t>
            </m:r>
          </m:e>
          <m:sub>
            <m:r>
              <m:rPr/>
              <m:t>n</m:t>
            </m:r>
          </m:sub>
        </m:sSub>
      </m:oMath>
      <w:r>
        <w:t xml:space="preserve"> 为股指期货日内某一频率下的K线最低价序列，</w:t>
      </w:r>
      <m:oMath>
        <m:sSub>
          <m:sSubPr/>
          <m:e>
            <m:r>
              <m:rPr/>
              <m:t>n</m:t>
            </m:r>
          </m:e>
          <m:sub>
            <m:r>
              <m:rPr/>
              <m:t>1</m:t>
            </m:r>
          </m:sub>
        </m:sSub>
      </m:oMath>
      <w:r>
        <w:t>为模型买入启动或者卖出启动形态形成时价格比较滞后期数，</w:t>
      </w:r>
      <m:oMath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</m:oMath>
      <w:r>
        <w:t>为模型买入启动或者卖出启动形态形成的价格关系单向连续个数，</w:t>
      </w:r>
      <m:oMath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</m:oMath>
      <w:r>
        <w:t>为模型计数阶段的最终信号发出所需的计数值。</w:t>
      </w:r>
    </w:p>
    <w:p>
      <w:pPr>
        <w:pStyle w:val="3"/>
      </w:pPr>
      <m:oMathPara>
        <m:oMathParaPr>
          <m:jc m:val="center"/>
        </m:oMathParaPr>
        <m:oMath>
          <m:r>
            <m:rPr/>
            <m:t>u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if</m:t>
                    </m:r>
                    <m:sSub>
                      <m:sSubPr/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sSubPr/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sSubPr/>
                          <m:e>
                            <m:r>
                              <m:rPr/>
                              <m:t>n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if</m:t>
                    </m:r>
                    <m:sSub>
                      <m:sSubPr/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sSub>
                      <m:sSubPr/>
                      <m:e>
                        <m:r>
                          <m:rPr/>
                          <m:t>c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sSubPr/>
                          <m:e>
                            <m:r>
                              <m:rPr/>
                              <m:t>n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rPr/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else</m:t>
                    </m:r>
                  </m:e>
                </m:mr>
              </m:m>
            </m:e>
          </m:d>
        </m:oMath>
      </m:oMathPara>
    </w:p>
    <w:p>
      <w:pPr>
        <w:pStyle w:val="23"/>
      </w:pPr>
      <w:r>
        <w:t>其中，</w:t>
      </w:r>
      <m:oMath>
        <m:r>
          <m:rPr/>
          <m:t>u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>为第i根K线价格关系的比较结果，计算公式如上。</w:t>
      </w:r>
    </w:p>
    <w:p>
      <w:pPr>
        <w:pStyle w:val="3"/>
        <w:ind w:firstLine="480" w:firstLineChars="200"/>
      </w:pPr>
      <w:r>
        <w:t>模型信号计算步骤：</w:t>
      </w:r>
    </w:p>
    <w:p>
      <w:pPr>
        <w:pStyle w:val="3"/>
      </w:pPr>
      <w:r>
        <w:t xml:space="preserve">（1）计算 </w:t>
      </w:r>
      <m:oMath>
        <m:r>
          <m:rPr/>
          <m:t>u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  <m:r>
          <m:rPr/>
          <m:t> i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,...,</m:t>
        </m:r>
        <m:r>
          <m:rPr/>
          <m:t>n</m:t>
        </m:r>
      </m:oMath>
    </w:p>
    <w:p>
      <w:pPr>
        <w:pStyle w:val="3"/>
      </w:pPr>
      <w:r>
        <w:t>（2）对</w:t>
      </w:r>
      <m:oMath>
        <m:r>
          <m:rPr/>
          <m:t>u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进行累加计算，且当其值与上一个值不等时，停止本次累加。</w:t>
      </w:r>
    </w:p>
    <w:p>
      <w:pPr>
        <w:pStyle w:val="3"/>
      </w:pPr>
      <w:r>
        <w:t>（3）当</w:t>
      </w:r>
      <m:oMath>
        <m:r>
          <m:rPr/>
          <m:t>u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>累加计算结果为</w:t>
      </w:r>
      <m:oMath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</m:oMath>
      <w:r>
        <w:t xml:space="preserve"> 时为一个卖出启动的形成，当计算结果为 </w:t>
      </w:r>
      <m:oMath>
        <m:r>
          <m:rPr>
            <m:sty m:val="p"/>
          </m:rPr>
          <m:t>−</m:t>
        </m:r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</m:oMath>
      <w:r>
        <w:t xml:space="preserve"> 时为一个买入启动的形成。 </w:t>
      </w:r>
    </w:p>
    <w:p>
      <w:pPr>
        <w:pStyle w:val="3"/>
      </w:pPr>
      <w:r>
        <w:t>（4）于买入启动形成的随后1根K线位置开始买入计数，在某一个K线上同时满足如下三个条件时买入计数累加1，当计数累加至</w:t>
      </w:r>
      <m:oMath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</m:oMath>
      <w:r>
        <w:t>发出买入信号。</w:t>
      </w:r>
      <w:r>
        <w:br w:type="textWrapping"/>
      </w:r>
      <w:r>
        <w:t>A. 收盘价大于或等于之前第2根K线最高价；</w:t>
      </w:r>
      <w:r>
        <w:br w:type="textWrapping"/>
      </w:r>
      <w:r>
        <w:t>B. 最高价大于之前第1根K线的最高价；</w:t>
      </w:r>
      <w:r>
        <w:br w:type="textWrapping"/>
      </w:r>
      <w:r>
        <w:t>C. 收盘价大于之前第1个计数的收盘价。</w:t>
      </w:r>
      <w:r>
        <w:br w:type="textWrapping"/>
      </w:r>
      <w:r>
        <w:t>（5）于卖出启动形成的随后1根K线位置开始卖出计数，在某一个K线上同时满足如下三个条件时卖出计数累加1，当计数累加至</w:t>
      </w:r>
      <m:oMath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</m:oMath>
      <w:r>
        <w:t>发出卖出信号。</w:t>
      </w:r>
      <w:r>
        <w:br w:type="textWrapping"/>
      </w:r>
      <w:r>
        <w:t>A. 收盘价小于或等于之前第2根K线最低价；</w:t>
      </w:r>
      <w:r>
        <w:br w:type="textWrapping"/>
      </w:r>
      <w:r>
        <w:t>B. 最低价小于之前第1根K线的最低价；</w:t>
      </w:r>
      <w:r>
        <w:br w:type="textWrapping"/>
      </w:r>
      <w:r>
        <w:t>C. 收盘价小于之前第1个计数的收盘价。</w:t>
      </w:r>
      <w:r>
        <w:br w:type="textWrapping"/>
      </w:r>
      <w:r>
        <w:t xml:space="preserve">（6）当形成一组新的买入启动时，取消上一组未最终形成买入信号的买入计数。 </w:t>
      </w:r>
      <w:r>
        <w:br w:type="textWrapping"/>
      </w:r>
      <w:r>
        <w:t>（7）当形成一组新的卖出启动时，取消上一组未最终形成卖出信号的卖出计数。</w:t>
      </w:r>
    </w:p>
    <w:p>
      <w:pPr>
        <w:pStyle w:val="8"/>
      </w:pPr>
      <w:bookmarkStart w:id="3" w:name="图1判断交易流程图"/>
      <w:r>
        <w:t>图1：判断交易流程图</w:t>
      </w:r>
    </w:p>
    <w:p>
      <w:pPr>
        <w:pStyle w:val="34"/>
      </w:pPr>
      <w:r>
        <w:drawing>
          <wp:inline distT="0" distB="0" distL="114300" distR="114300">
            <wp:extent cx="5334000" cy="413385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2"/>
    <w:bookmarkEnd w:id="3"/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4" w:name="X71967b5ffca3bee2cb15eb0d1b3a5fdb472eb08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1.2 GFTD模型的止损方式</w:t>
      </w:r>
    </w:p>
    <w:p>
      <w:pPr>
        <w:pStyle w:val="23"/>
        <w:ind w:firstLine="480" w:firstLineChars="200"/>
      </w:pPr>
      <w:r>
        <w:t>在每次形成买入/卖出信号后，将相应计数的形成周期内市场的最高点或者最低点设成止损点，例如当期形成买入信号，那么取买入计数过程中的市场最低点为止损点，反之，当期形成卖出信号，那么取卖出计数过程中的市场最高点为止损点，在市场未触及止损点之前，一直持有头寸，直到出现反向信号或者触发止损为止。</w:t>
      </w:r>
    </w:p>
    <w:p>
      <w:pPr>
        <w:pStyle w:val="3"/>
        <w:ind w:firstLine="480" w:firstLineChars="200"/>
      </w:pPr>
      <w:r>
        <w:t>为了避免持仓隔夜风险，设置收盘15点强制平仓。</w:t>
      </w:r>
    </w:p>
    <w:p>
      <w:pPr>
        <w:pStyle w:val="3"/>
        <w:ind w:firstLine="480" w:firstLineChars="200"/>
      </w:pPr>
      <w:r>
        <w:t>这里买入启动和卖出启动是分别计算的，形成买入计数和卖出计数互不影响，即使买入计数=n3形成了买入信号，卖出计数不归零，仍继续计算，如果卖出计数=n3，则会形成反向信号。</w:t>
      </w:r>
    </w:p>
    <w:p>
      <w:pPr>
        <w:pStyle w:val="3"/>
        <w:ind w:firstLine="480" w:firstLineChars="200"/>
      </w:pPr>
    </w:p>
    <w:p>
      <w:pPr>
        <w:pStyle w:val="3"/>
        <w:ind w:firstLine="480" w:firstLineChars="200"/>
      </w:pPr>
    </w:p>
    <w:bookmarkEnd w:id="1"/>
    <w:bookmarkEnd w:id="4"/>
    <w:p>
      <w:pPr>
        <w:pStyle w:val="5"/>
        <w:rPr>
          <w:color w:val="auto"/>
          <w:sz w:val="32"/>
          <w:szCs w:val="32"/>
        </w:rPr>
      </w:pPr>
      <w:bookmarkStart w:id="5" w:name="二实证分析"/>
      <w:r>
        <w:rPr>
          <w:color w:val="auto"/>
          <w:sz w:val="32"/>
          <w:szCs w:val="32"/>
        </w:rPr>
        <w:t>二、实证分析</w:t>
      </w:r>
    </w:p>
    <w:p>
      <w:pPr>
        <w:pStyle w:val="23"/>
      </w:pPr>
      <w:r>
        <w:rPr>
          <w:b/>
          <w:bCs/>
        </w:rPr>
        <w:t>（1）数据选取</w:t>
      </w:r>
      <w:r>
        <w:t>：</w:t>
      </w:r>
    </w:p>
    <w:p>
      <w:pPr>
        <w:pStyle w:val="3"/>
        <w:ind w:firstLine="480" w:firstLineChars="200"/>
      </w:pPr>
      <w:r>
        <w:t>本实证选取沪深300股指期货合约加权平均（IF8888）在2010年4月16日到2012年7月6日的1分钟K线为样本集。评价指标考察：累计收益，多仓空仓胜率、持有期、最大回撤、年化收益、年华标准差、夏普比率等。</w:t>
      </w:r>
    </w:p>
    <w:p>
      <w:pPr>
        <w:pStyle w:val="3"/>
      </w:pPr>
      <w:r>
        <w:rPr>
          <w:b/>
          <w:bCs/>
        </w:rPr>
        <w:t>（2）交易假设</w:t>
      </w:r>
      <w:r>
        <w:t>：</w:t>
      </w:r>
    </w:p>
    <w:p>
      <w:pPr>
        <w:pStyle w:val="3"/>
        <w:ind w:firstLine="480" w:firstLineChars="200"/>
      </w:pPr>
      <w:r>
        <w:t>设置单边冲击成本0.4个指数点：</w:t>
      </w:r>
    </w:p>
    <w:p>
      <w:pPr>
        <w:pStyle w:val="34"/>
      </w:pPr>
      <w:r>
        <w:drawing>
          <wp:inline distT="0" distB="0" distL="114300" distR="114300">
            <wp:extent cx="5334000" cy="1797685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 w:firstLineChars="200"/>
      </w:pPr>
      <w:r>
        <w:t>此外单边手续费万分之零点五，开仓价格为信号发生后第一根K线的开盘价格。加入止损机制，触及止损机制时，平仓止损，再根据之后的交易信号开仓，若当日未发生止损，则收盘15:00强制平仓。</w:t>
      </w:r>
    </w:p>
    <w:p>
      <w:pPr>
        <w:pStyle w:val="3"/>
        <w:ind w:firstLine="480" w:firstLineChars="200"/>
      </w:pPr>
      <w:r>
        <w:t xml:space="preserve">根据研报选取参数 </w:t>
      </w:r>
      <m:oMath>
        <m:sSub>
          <m:sSubPr/>
          <m:e>
            <m:r>
              <m:rPr/>
              <m:t>n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5</m:t>
        </m:r>
        <m:r>
          <m:rPr>
            <m:sty m:val="p"/>
          </m:rPr>
          <m:t>,</m:t>
        </m:r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r>
          <m:rPr/>
          <m:t>3</m:t>
        </m:r>
        <m:r>
          <m:rPr>
            <m:sty m:val="p"/>
          </m:rPr>
          <m:t>,</m:t>
        </m:r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  <m:r>
          <m:rPr>
            <m:sty m:val="p"/>
          </m:rPr>
          <m:t>=</m:t>
        </m:r>
        <m:r>
          <m:rPr/>
          <m:t>6</m:t>
        </m:r>
      </m:oMath>
    </w:p>
    <w:p>
      <w:pPr>
        <w:pStyle w:val="3"/>
      </w:pPr>
      <w:r>
        <w:rPr>
          <w:b/>
          <w:bCs/>
        </w:rPr>
        <w:t>（3）回测结果：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</w:pPr>
      <w:r>
        <w:rPr>
          <w:rStyle w:val="35"/>
        </w:rPr>
        <w:t>累计收益       205.01%
</w:t>
      </w:r>
      <w:r>
        <w:br w:type="textWrapping"/>
      </w:r>
      <w:r>
        <w:rPr>
          <w:rStyle w:val="35"/>
        </w:rPr>
        <w:t>多仓次数           871
</w:t>
      </w:r>
      <w:r>
        <w:br w:type="textWrapping"/>
      </w:r>
      <w:r>
        <w:rPr>
          <w:rStyle w:val="35"/>
        </w:rPr>
        <w:t>多仓成功次数         284
</w:t>
      </w:r>
      <w:r>
        <w:br w:type="textWrapping"/>
      </w:r>
      <w:r>
        <w:rPr>
          <w:rStyle w:val="35"/>
        </w:rPr>
        <w:t>多仓胜率        32.61%
</w:t>
      </w:r>
      <w:r>
        <w:br w:type="textWrapping"/>
      </w:r>
      <w:r>
        <w:rPr>
          <w:rStyle w:val="35"/>
        </w:rPr>
        <w:t>多仓平均持有期      36.87
</w:t>
      </w:r>
      <w:r>
        <w:br w:type="textWrapping"/>
      </w:r>
      <w:r>
        <w:rPr>
          <w:rStyle w:val="35"/>
        </w:rPr>
        <w:t>空仓次数          1040
</w:t>
      </w:r>
      <w:r>
        <w:br w:type="textWrapping"/>
      </w:r>
      <w:r>
        <w:rPr>
          <w:rStyle w:val="35"/>
        </w:rPr>
        <w:t>空仓成功次数         413
</w:t>
      </w:r>
      <w:r>
        <w:br w:type="textWrapping"/>
      </w:r>
      <w:r>
        <w:rPr>
          <w:rStyle w:val="35"/>
        </w:rPr>
        <w:t>空仓胜率        39.71%
</w:t>
      </w:r>
      <w:r>
        <w:br w:type="textWrapping"/>
      </w:r>
      <w:r>
        <w:rPr>
          <w:rStyle w:val="35"/>
        </w:rPr>
        <w:t>空仓平均持有期      46.41
</w:t>
      </w:r>
      <w:r>
        <w:br w:type="textWrapping"/>
      </w:r>
      <w:r>
        <w:rPr>
          <w:rStyle w:val="35"/>
        </w:rPr>
        <w:t>周期胜率        49.88%
</w:t>
      </w:r>
      <w:r>
        <w:br w:type="textWrapping"/>
      </w:r>
      <w:r>
        <w:rPr>
          <w:rStyle w:val="35"/>
        </w:rPr>
        <w:t>最大回撤         6.28%
</w:t>
      </w:r>
      <w:r>
        <w:br w:type="textWrapping"/>
      </w:r>
      <w:r>
        <w:rPr>
          <w:rStyle w:val="35"/>
        </w:rPr>
        <w:t>年化收益/最大回撤    10.36
</w:t>
      </w:r>
      <w:r>
        <w:br w:type="textWrapping"/>
      </w:r>
      <w:r>
        <w:rPr>
          <w:rStyle w:val="35"/>
        </w:rPr>
        <w:t>年化收益        65.08%
</w:t>
      </w:r>
      <w:r>
        <w:br w:type="textWrapping"/>
      </w:r>
      <w:r>
        <w:rPr>
          <w:rStyle w:val="35"/>
        </w:rPr>
        <w:t>年化标准差       14.27%
</w:t>
      </w:r>
      <w:r>
        <w:br w:type="textWrapping"/>
      </w:r>
      <w:r>
        <w:rPr>
          <w:rStyle w:val="35"/>
        </w:rPr>
        <w:t>年化夏普          4.56</w:t>
      </w:r>
    </w:p>
    <w:p>
      <w:pPr>
        <w:pStyle w:val="8"/>
      </w:pPr>
      <w:bookmarkStart w:id="6" w:name="图2指数期货与收益红线为收益蓝线为指数期货）"/>
      <w:r>
        <w:t>图2：指数期货与收益（红线为收益，蓝线为指数期货）</w:t>
      </w:r>
    </w:p>
    <w:p>
      <w:pPr>
        <w:pStyle w:val="34"/>
      </w:pPr>
      <w:r>
        <w:drawing>
          <wp:inline distT="0" distB="0" distL="114300" distR="114300">
            <wp:extent cx="5334000" cy="219392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42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6"/>
    <w:p>
      <w:pPr>
        <w:pStyle w:val="8"/>
      </w:pPr>
      <w:bookmarkStart w:id="7" w:name="图3收益"/>
      <w:r>
        <w:t>图3：收益</w:t>
      </w:r>
    </w:p>
    <w:p>
      <w:pPr>
        <w:pStyle w:val="34"/>
      </w:pPr>
      <w:r>
        <w:drawing>
          <wp:inline distT="0" distB="0" distL="114300" distR="114300">
            <wp:extent cx="5334000" cy="1591945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19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5"/>
    <w:bookmarkEnd w:id="7"/>
    <w:p>
      <w:pPr>
        <w:pStyle w:val="5"/>
        <w:rPr>
          <w:color w:val="auto"/>
          <w:sz w:val="32"/>
          <w:szCs w:val="32"/>
        </w:rPr>
      </w:pPr>
      <w:bookmarkStart w:id="8" w:name="三参数选取"/>
      <w:r>
        <w:rPr>
          <w:color w:val="auto"/>
          <w:sz w:val="32"/>
          <w:szCs w:val="32"/>
        </w:rPr>
        <w:t>三、参数选取</w:t>
      </w:r>
    </w:p>
    <w:p>
      <w:pPr>
        <w:pStyle w:val="23"/>
        <w:ind w:firstLine="480" w:firstLineChars="200"/>
      </w:pPr>
      <w:r>
        <w:t>对不同的</w:t>
      </w:r>
      <m:oMath>
        <m:sSub>
          <m:sSubPr/>
          <m:e>
            <m:r>
              <m:rPr/>
              <m:t>n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</m:oMath>
      <w:r>
        <w:t xml:space="preserve"> 进行收益率计算，其中</w:t>
      </w:r>
      <m:oMath>
        <m:sSub>
          <m:sSubPr/>
          <m:e>
            <m:r>
              <m:rPr/>
              <m:t>n</m:t>
            </m:r>
          </m:e>
          <m:sub>
            <m:r>
              <m:rPr/>
              <m:t>1</m:t>
            </m:r>
          </m:sub>
        </m:sSub>
      </m:oMath>
      <w:r>
        <w:t>取值1-10，</w:t>
      </w:r>
      <m:oMath>
        <m:sSub>
          <m:sSubPr/>
          <m:e>
            <m:r>
              <m:rPr/>
              <m:t>n</m:t>
            </m:r>
          </m:e>
          <m:sub>
            <m:r>
              <m:rPr/>
              <m:t>2</m:t>
            </m:r>
          </m:sub>
        </m:sSub>
      </m:oMath>
      <w:r>
        <w:t xml:space="preserve">取值1-10， </w:t>
      </w:r>
      <m:oMath>
        <m:sSub>
          <m:sSubPr/>
          <m:e>
            <m:r>
              <m:rPr/>
              <m:t>n</m:t>
            </m:r>
          </m:e>
          <m:sub>
            <m:r>
              <m:rPr/>
              <m:t>3</m:t>
            </m:r>
          </m:sub>
        </m:sSub>
      </m:oMath>
      <w:r>
        <w:t>取值5,6,7，则有如下收益率：</w:t>
      </w:r>
    </w:p>
    <w:p>
      <w:pPr>
        <w:pStyle w:val="8"/>
      </w:pPr>
      <w:bookmarkStart w:id="9" w:name="表1不同参数下的累计收益率取top10）"/>
      <w:r>
        <w:t>表1：不同参数下的累计收益率（取top10）</w:t>
      </w:r>
    </w:p>
    <w:p>
      <w:pPr>
        <w:pStyle w:val="34"/>
      </w:pPr>
      <w:r>
        <w:drawing>
          <wp:inline distT="0" distB="0" distL="114300" distR="114300">
            <wp:extent cx="3505200" cy="4483100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  <w:ind w:firstLine="480" w:firstLineChars="200"/>
      </w:pPr>
      <w:r>
        <w:t>三个参数的平均值为5.8，3.1, 6.2，虽然5,3,6不是最佳收益率取值，但top10组合的平均值接近默认参数取值。</w:t>
      </w:r>
    </w:p>
    <w:p>
      <w:pPr>
        <w:pStyle w:val="3"/>
        <w:ind w:firstLine="480" w:firstLineChars="200"/>
      </w:pPr>
    </w:p>
    <w:p>
      <w:pPr>
        <w:pStyle w:val="3"/>
        <w:ind w:firstLine="480" w:firstLineChars="200"/>
      </w:pPr>
      <w:bookmarkStart w:id="10" w:name="_GoBack"/>
      <w:bookmarkEnd w:id="10"/>
    </w:p>
    <w:bookmarkEnd w:id="0"/>
    <w:bookmarkEnd w:id="8"/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llYTY3ZjkwZGYzNDZjNWE3OTU1YzQwMTFkYzRlMTYifQ=="/>
  </w:docVars>
  <w:rsids>
    <w:rsidRoot w:val="00000000"/>
    <w:rsid w:val="6B38038E"/>
    <w:rsid w:val="761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1451</Words>
  <Characters>1652</Characters>
  <Lines>12</Lines>
  <Paragraphs>8</Paragraphs>
  <TotalTime>8</TotalTime>
  <ScaleCrop>false</ScaleCrop>
  <LinksUpToDate>false</LinksUpToDate>
  <CharactersWithSpaces>1794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2022-05-12T05:25:00Z</dcterms:created>
  <dc:creator>WPS_1507726448</dc:creator>
  <cp:lastModifiedBy>WPS_1507726448</cp:lastModifiedBy>
  <dcterms:modified xsi:type="dcterms:W3CDTF">2022-05-13T02:01:25Z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1A23AEDD15DE4FB19326025AB98F9A88</vt:lpwstr>
  </property>
</Properties>
</file>