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02B1" w14:textId="0644D0B3" w:rsidR="008123E5" w:rsidRPr="00855E4A" w:rsidRDefault="00D122EA" w:rsidP="00855E4A">
      <w:pPr>
        <w:jc w:val="center"/>
        <w:rPr>
          <w:rStyle w:val="HTMLCode"/>
          <w:rFonts w:asciiTheme="majorHAnsi" w:eastAsiaTheme="minorEastAsia" w:hAnsiTheme="majorHAnsi"/>
          <w:b/>
          <w:bCs/>
          <w:sz w:val="28"/>
          <w:szCs w:val="28"/>
          <w:u w:val="single"/>
        </w:rPr>
      </w:pPr>
      <w:r w:rsidRPr="00855E4A">
        <w:rPr>
          <w:rStyle w:val="HTMLCode"/>
          <w:rFonts w:asciiTheme="majorHAnsi" w:eastAsiaTheme="minorEastAsia" w:hAnsiTheme="majorHAnsi"/>
          <w:b/>
          <w:bCs/>
          <w:sz w:val="28"/>
          <w:szCs w:val="28"/>
          <w:u w:val="single"/>
        </w:rPr>
        <w:t>Kickstarter campaigns</w:t>
      </w:r>
    </w:p>
    <w:p w14:paraId="6924F225" w14:textId="77777777" w:rsidR="0003297D" w:rsidRDefault="0003297D" w:rsidP="00D122EA">
      <w:pPr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1A2C659B" w14:textId="0E429986" w:rsidR="00D122EA" w:rsidRDefault="00D122EA" w:rsidP="00D122EA">
      <w:pPr>
        <w:pStyle w:val="ListParagraph"/>
        <w:numPr>
          <w:ilvl w:val="0"/>
          <w:numId w:val="1"/>
        </w:numPr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  <w:r w:rsidRPr="00D122EA"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  <w:t>Three conclusions</w:t>
      </w:r>
    </w:p>
    <w:p w14:paraId="2C086087" w14:textId="77777777" w:rsidR="00343212" w:rsidRDefault="00343212" w:rsidP="00343212">
      <w:pPr>
        <w:pStyle w:val="ListParagraph"/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2FF644E2" w14:textId="7B1EFA88" w:rsidR="00D122EA" w:rsidRPr="00E767A9" w:rsidRDefault="00F72D4B" w:rsidP="002E758C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Based on the analysis for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 </w:t>
      </w:r>
      <w:r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successful and for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 </w:t>
      </w:r>
      <w:r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failed campaign,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>the more backers the more success.</w:t>
      </w:r>
      <w:r w:rsidRPr="00F72D4B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>(i.e. Avg 194 vs 18, 3</w:t>
      </w:r>
      <w:r w:rsidRPr="00F72D4B">
        <w:rPr>
          <w:rStyle w:val="HTMLCode"/>
          <w:rFonts w:ascii="Cambria" w:eastAsiaTheme="minorEastAsia" w:hAnsi="Cambria" w:cstheme="minorHAnsi"/>
          <w:sz w:val="24"/>
          <w:szCs w:val="24"/>
          <w:vertAlign w:val="superscript"/>
        </w:rPr>
        <w:t>rd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Quartile 141 vs 12) </w:t>
      </w:r>
      <w:r w:rsidR="00E767A9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There is </w:t>
      </w:r>
      <w:r w:rsidR="00E75B41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>an</w:t>
      </w:r>
      <w:r w:rsidR="00E767A9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obvious trend between the number of backers and the success of the campaign. </w:t>
      </w:r>
    </w:p>
    <w:p w14:paraId="01DF3FAC" w14:textId="2691F975" w:rsidR="00FE4FB7" w:rsidRDefault="00FE4FB7" w:rsidP="00D122EA">
      <w:pPr>
        <w:pStyle w:val="ListParagraph"/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491BD099" w14:textId="063B5C5D" w:rsidR="00855E4A" w:rsidRPr="00EE546C" w:rsidRDefault="00855E4A" w:rsidP="00855E4A">
      <w:pPr>
        <w:pStyle w:val="ListParagraph"/>
        <w:spacing w:after="0"/>
        <w:rPr>
          <w:rStyle w:val="HTMLCode"/>
          <w:rFonts w:ascii="Cambria" w:eastAsiaTheme="minorEastAsia" w:hAnsi="Cambria" w:cstheme="minorHAnsi"/>
        </w:rPr>
      </w:pPr>
      <w:r w:rsidRPr="00EE546C">
        <w:rPr>
          <w:rStyle w:val="HTMLCode"/>
          <w:rFonts w:ascii="Cambria" w:eastAsiaTheme="minorEastAsia" w:hAnsi="Cambria" w:cstheme="minorHAnsi"/>
        </w:rPr>
        <w:t>Table1) number backer</w:t>
      </w:r>
    </w:p>
    <w:tbl>
      <w:tblPr>
        <w:tblW w:w="8190" w:type="dxa"/>
        <w:tblInd w:w="715" w:type="dxa"/>
        <w:tblLook w:val="04A0" w:firstRow="1" w:lastRow="0" w:firstColumn="1" w:lastColumn="0" w:noHBand="0" w:noVBand="1"/>
      </w:tblPr>
      <w:tblGrid>
        <w:gridCol w:w="3120"/>
        <w:gridCol w:w="2640"/>
        <w:gridCol w:w="2430"/>
      </w:tblGrid>
      <w:tr w:rsidR="00E75B41" w:rsidRPr="00E75B41" w14:paraId="18EE8FCC" w14:textId="77777777" w:rsidTr="002E758C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F034424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E75B4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Backers_count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2B59D52C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E75B4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Successful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3053C663" w14:textId="39403831" w:rsidR="00E75B41" w:rsidRPr="00E75B41" w:rsidRDefault="00855E4A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Failed (</w:t>
            </w:r>
            <w:r w:rsidR="00E75B41" w:rsidRPr="00E75B41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Unsuccessful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)</w:t>
            </w:r>
          </w:p>
        </w:tc>
      </w:tr>
      <w:tr w:rsidR="00E75B41" w:rsidRPr="00E75B41" w14:paraId="15E3B3E1" w14:textId="77777777" w:rsidTr="007F13E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31B2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8F23010" w14:textId="1EB09A29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194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AB6" w14:textId="2146C32E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E75B41" w:rsidRPr="00E75B41" w14:paraId="7403F6C8" w14:textId="77777777" w:rsidTr="007F13E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7536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735747B" w14:textId="38C92DC3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60B0" w14:textId="6440A6CD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E75B41" w:rsidRPr="00E75B41" w14:paraId="0B668171" w14:textId="77777777" w:rsidTr="002E758C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5E329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STD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579D" w14:textId="057889B9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844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5F2F5" w14:textId="7662325E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</w:tr>
      <w:tr w:rsidR="00E75B41" w:rsidRPr="00E75B41" w14:paraId="78B86961" w14:textId="77777777" w:rsidTr="002E758C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76C2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DED9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9F3BD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5B41" w:rsidRPr="00E75B41" w14:paraId="04D7F147" w14:textId="77777777" w:rsidTr="005E7B85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B8A1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1st Q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14AE535" w14:textId="77297C4A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81199" w14:textId="1D77585D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E75B41" w:rsidRPr="00E75B41" w14:paraId="4519D951" w14:textId="77777777" w:rsidTr="005E7B85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EA56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2nd Q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3DDD243" w14:textId="392DE231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83945" w14:textId="52D25AC6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E75B41" w:rsidRPr="00E75B41" w14:paraId="0D6C031E" w14:textId="77777777" w:rsidTr="005E7B85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2DCAF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3rd Q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7C8DA66" w14:textId="4FD8EFD5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5712" w14:textId="427F778A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E75B41" w:rsidRPr="00E75B41" w14:paraId="46014D4C" w14:textId="77777777" w:rsidTr="005E7B85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4482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Int Q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0210E1F5" w14:textId="4B744178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112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265B" w14:textId="0C9E4202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E75B41" w:rsidRPr="00E75B41" w14:paraId="629C9304" w14:textId="77777777" w:rsidTr="002E758C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B717" w14:textId="77777777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Upper boundary Q3 + (1.5*IQR)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E3F7" w14:textId="66994E8F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309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6940" w14:textId="313EC44C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28.5</w:t>
            </w:r>
          </w:p>
        </w:tc>
      </w:tr>
      <w:tr w:rsidR="00E75B41" w:rsidRPr="00E75B41" w14:paraId="092B9A5A" w14:textId="77777777" w:rsidTr="002E758C">
        <w:trPr>
          <w:trHeight w:val="341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E755" w14:textId="4FFD622A" w:rsidR="00E75B41" w:rsidRPr="00E75B41" w:rsidRDefault="00E75B41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75B41">
              <w:rPr>
                <w:rFonts w:ascii="Calibri" w:eastAsia="Times New Roman" w:hAnsi="Calibri" w:cs="Calibri"/>
                <w:color w:val="000000"/>
                <w:lang w:val="en-US"/>
              </w:rPr>
              <w:t>Lower boundary Q1 - (1.5*IQR)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6A6B" w14:textId="7CA15A1A" w:rsidR="00E75B41" w:rsidRPr="00E75B41" w:rsidRDefault="00855E4A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49BC" w14:textId="12AD89F3" w:rsidR="00E75B41" w:rsidRPr="00E75B41" w:rsidRDefault="00855E4A" w:rsidP="00E75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0EB44F98" w14:textId="29C98862" w:rsidR="00E75B41" w:rsidRDefault="00E75B41" w:rsidP="00D122EA">
      <w:pPr>
        <w:pStyle w:val="ListParagraph"/>
        <w:rPr>
          <w:rStyle w:val="HTMLCode"/>
          <w:rFonts w:asciiTheme="majorHAnsi" w:eastAsiaTheme="minorEastAsia" w:hAnsiTheme="majorHAnsi"/>
          <w:b/>
          <w:bCs/>
          <w:sz w:val="24"/>
          <w:szCs w:val="24"/>
        </w:rPr>
      </w:pPr>
    </w:p>
    <w:p w14:paraId="308BEAAC" w14:textId="46A044A2" w:rsidR="00D122EA" w:rsidRDefault="002E758C" w:rsidP="002E758C">
      <w:pPr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75C3C3" wp14:editId="706F2704">
            <wp:extent cx="4934309" cy="3049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362" cy="30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973E" w14:textId="09D56D69" w:rsidR="00F414D9" w:rsidRDefault="00AE4393" w:rsidP="000A53C6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 w:rsidRPr="00305A9C">
        <w:rPr>
          <w:rStyle w:val="HTMLCode"/>
          <w:rFonts w:ascii="Cambria" w:eastAsiaTheme="minorEastAsia" w:hAnsi="Cambria" w:cstheme="minorHAnsi"/>
          <w:sz w:val="24"/>
          <w:szCs w:val="24"/>
        </w:rPr>
        <w:lastRenderedPageBreak/>
        <w:t xml:space="preserve">Goal amount and the success rate has negative </w:t>
      </w:r>
      <w:r w:rsidR="00E925F5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>trend: t</w:t>
      </w:r>
      <w:r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>he higher goal amount, the less success rate</w:t>
      </w:r>
      <w:r w:rsidR="00E925F5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while the failed rate has positive trend.  </w:t>
      </w:r>
      <w:r w:rsidR="00305A9C">
        <w:rPr>
          <w:rStyle w:val="HTMLCode"/>
          <w:rFonts w:ascii="Cambria" w:eastAsiaTheme="minorEastAsia" w:hAnsi="Cambria" w:cstheme="minorHAnsi"/>
          <w:sz w:val="24"/>
          <w:szCs w:val="24"/>
        </w:rPr>
        <w:t>In addition, o</w:t>
      </w:r>
      <w:r w:rsidR="00F414D9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>ver $45,000 goal, the success rate drops sharply</w:t>
      </w:r>
      <w:r w:rsidR="00305A9C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below 30%. </w:t>
      </w:r>
      <w:r w:rsidR="00F414D9" w:rsidRPr="00305A9C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</w:p>
    <w:p w14:paraId="5BD31AD4" w14:textId="77777777" w:rsidR="00EE546C" w:rsidRPr="00305A9C" w:rsidRDefault="00EE546C" w:rsidP="00EE546C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39E15744" w14:textId="3C75AF5E" w:rsidR="00AE4393" w:rsidRPr="00EE546C" w:rsidRDefault="00EE546C" w:rsidP="00AE4393">
      <w:pPr>
        <w:pStyle w:val="ListParagraph"/>
        <w:rPr>
          <w:rStyle w:val="HTMLCode"/>
          <w:rFonts w:ascii="Cambria" w:eastAsiaTheme="minorEastAsia" w:hAnsi="Cambria" w:cstheme="minorHAnsi"/>
        </w:rPr>
      </w:pPr>
      <w:r w:rsidRPr="00EE546C">
        <w:rPr>
          <w:rStyle w:val="HTMLCode"/>
          <w:rFonts w:ascii="Cambria" w:eastAsiaTheme="minorEastAsia" w:hAnsi="Cambria" w:cstheme="minorHAnsi"/>
        </w:rPr>
        <w:t>Table2)</w:t>
      </w:r>
    </w:p>
    <w:p w14:paraId="3C3E960A" w14:textId="3F50452D" w:rsidR="00DB14F7" w:rsidRDefault="00DB14F7" w:rsidP="00AE4393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64C7A0" wp14:editId="4314322E">
            <wp:extent cx="5508345" cy="2725420"/>
            <wp:effectExtent l="0" t="0" r="1651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549B86E-B2A6-499D-8293-143B03868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7AA153" w14:textId="6E7E29DE" w:rsidR="00E925F5" w:rsidRDefault="00E925F5" w:rsidP="00AE4393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79190A3A" w14:textId="77777777" w:rsidR="00F72D4B" w:rsidRDefault="00F72D4B" w:rsidP="00AE4393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20B6A5AF" w14:textId="4CB90E02" w:rsidR="00EE546C" w:rsidRDefault="00AE4393" w:rsidP="00AE4393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Music, Theater, Film &amp; Video category has more than 50% of success rate.  </w:t>
      </w:r>
    </w:p>
    <w:p w14:paraId="4D832314" w14:textId="77777777" w:rsidR="00EE546C" w:rsidRDefault="00EE546C" w:rsidP="00EE546C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37FD9611" w14:textId="60EE05BA" w:rsidR="00EE546C" w:rsidRPr="00EE546C" w:rsidRDefault="00EE546C" w:rsidP="00EE546C">
      <w:pPr>
        <w:pStyle w:val="ListParagraph"/>
        <w:rPr>
          <w:rStyle w:val="HTMLCode"/>
          <w:rFonts w:ascii="Cambria" w:eastAsiaTheme="minorEastAsia" w:hAnsi="Cambria" w:cstheme="minorHAnsi"/>
        </w:rPr>
      </w:pPr>
      <w:r w:rsidRPr="00EE546C">
        <w:rPr>
          <w:rStyle w:val="HTMLCode"/>
          <w:rFonts w:ascii="Cambria" w:eastAsiaTheme="minorEastAsia" w:hAnsi="Cambria" w:cstheme="minorHAnsi"/>
        </w:rPr>
        <w:t>Table3)</w:t>
      </w:r>
    </w:p>
    <w:p w14:paraId="23A794D4" w14:textId="2453C513" w:rsidR="00AE4393" w:rsidRPr="00E767A9" w:rsidRDefault="0068637D" w:rsidP="00EE546C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BC2266" wp14:editId="51CA1D74">
            <wp:extent cx="5493715" cy="21693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546" cy="21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393" w:rsidRPr="00E767A9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   </w:t>
      </w:r>
    </w:p>
    <w:p w14:paraId="117B4BC9" w14:textId="50E8FB2B" w:rsidR="0003297D" w:rsidRDefault="0068637D" w:rsidP="0068637D">
      <w:pPr>
        <w:ind w:left="720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02F21" wp14:editId="4D069328">
            <wp:extent cx="4883785" cy="3204057"/>
            <wp:effectExtent l="0" t="0" r="12065" b="1587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29AC9F3-8957-442B-924B-B01DF3001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F89271" w14:textId="77777777" w:rsidR="009F2563" w:rsidRDefault="009F2563" w:rsidP="0068637D">
      <w:pPr>
        <w:ind w:left="720"/>
        <w:rPr>
          <w:rFonts w:asciiTheme="majorHAnsi" w:hAnsiTheme="majorHAnsi"/>
          <w:b/>
          <w:bCs/>
          <w:sz w:val="24"/>
          <w:szCs w:val="24"/>
        </w:rPr>
      </w:pPr>
    </w:p>
    <w:p w14:paraId="798B030E" w14:textId="15BD5D8F" w:rsidR="00D122EA" w:rsidRDefault="00D122EA" w:rsidP="00D122E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Limitation of the data set</w:t>
      </w:r>
    </w:p>
    <w:p w14:paraId="7F700C15" w14:textId="453E3F35" w:rsidR="00C64777" w:rsidRDefault="00855E4A" w:rsidP="00C64777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 w:rsidRPr="00855E4A">
        <w:rPr>
          <w:rStyle w:val="HTMLCode"/>
          <w:rFonts w:ascii="Cambria" w:eastAsiaTheme="minorEastAsia" w:hAnsi="Cambria" w:cstheme="minorHAnsi"/>
          <w:sz w:val="24"/>
          <w:szCs w:val="24"/>
        </w:rPr>
        <w:t>Defini</w:t>
      </w:r>
      <w:r w:rsidR="00401489">
        <w:rPr>
          <w:rStyle w:val="HTMLCode"/>
          <w:rFonts w:ascii="Cambria" w:eastAsiaTheme="minorEastAsia" w:hAnsi="Cambria" w:cstheme="minorHAnsi"/>
          <w:sz w:val="24"/>
          <w:szCs w:val="24"/>
        </w:rPr>
        <w:t>tion of success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is based on the 100% achievement of the goal. But it might not reflect the reality well. Some campaign achieve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d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8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2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>% of the goal amount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, raised over $107K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but it </w:t>
      </w:r>
      <w:r w:rsidR="00F72D4B">
        <w:rPr>
          <w:rStyle w:val="HTMLCode"/>
          <w:rFonts w:ascii="Cambria" w:eastAsiaTheme="minorEastAsia" w:hAnsi="Cambria" w:cstheme="minorHAnsi"/>
          <w:sz w:val="24"/>
          <w:szCs w:val="24"/>
        </w:rPr>
        <w:t>classified “Failed”</w:t>
      </w:r>
      <w:r w:rsidR="00C64777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.  </w:t>
      </w:r>
    </w:p>
    <w:p w14:paraId="42F0A7C1" w14:textId="22A03963" w:rsidR="00C64777" w:rsidRDefault="00C64777" w:rsidP="00C64777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>“Canceled” and “Live” status campaign doesn’t add much value in the analysis. It might create no</w:t>
      </w:r>
      <w:r w:rsidR="009F2563">
        <w:rPr>
          <w:rStyle w:val="HTMLCode"/>
          <w:rFonts w:ascii="Cambria" w:eastAsiaTheme="minorEastAsia" w:hAnsi="Cambria" w:cstheme="minorHAnsi"/>
          <w:sz w:val="24"/>
          <w:szCs w:val="24"/>
        </w:rPr>
        <w:t>ise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but just added total number of </w:t>
      </w:r>
      <w:r w:rsidR="009F2563">
        <w:rPr>
          <w:rStyle w:val="HTMLCode"/>
          <w:rFonts w:ascii="Cambria" w:eastAsiaTheme="minorEastAsia" w:hAnsi="Cambria" w:cstheme="minorHAnsi"/>
          <w:sz w:val="24"/>
          <w:szCs w:val="24"/>
        </w:rPr>
        <w:t>campaigns</w:t>
      </w: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. </w:t>
      </w:r>
      <w:r w:rsidR="006C2FCA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Excluding these two statuses might provide more clear analysis. </w:t>
      </w:r>
    </w:p>
    <w:p w14:paraId="5BF1DECA" w14:textId="1A530EEB" w:rsidR="00D122EA" w:rsidRPr="00855E4A" w:rsidRDefault="00401489" w:rsidP="00855E4A">
      <w:pPr>
        <w:pStyle w:val="ListParagraph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  <w:r w:rsidR="00855E4A" w:rsidRPr="00855E4A"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 </w:t>
      </w:r>
    </w:p>
    <w:p w14:paraId="0951EEF6" w14:textId="77777777" w:rsidR="0003297D" w:rsidRPr="00D122EA" w:rsidRDefault="0003297D" w:rsidP="00D122EA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14:paraId="65D29D85" w14:textId="2A90EE2F" w:rsidR="00D122EA" w:rsidRDefault="00D122EA" w:rsidP="00D122EA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Other possible tables/graphs</w:t>
      </w:r>
    </w:p>
    <w:p w14:paraId="150E4590" w14:textId="7E958277" w:rsidR="009F2563" w:rsidRDefault="009F2563" w:rsidP="009F2563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Top 10 country </w:t>
      </w:r>
      <w:r w:rsidR="00FC7EF0">
        <w:rPr>
          <w:rStyle w:val="HTMLCode"/>
          <w:rFonts w:ascii="Cambria" w:eastAsiaTheme="minorEastAsia" w:hAnsi="Cambria" w:cstheme="minorHAnsi"/>
          <w:sz w:val="24"/>
          <w:szCs w:val="24"/>
        </w:rPr>
        <w:t>by its campaign number and each country’s success rate.</w:t>
      </w:r>
    </w:p>
    <w:p w14:paraId="48BB1AF9" w14:textId="4AF58202" w:rsidR="00FC7EF0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850DB3" wp14:editId="0C343C2F">
            <wp:extent cx="4988966" cy="2041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264" cy="20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63A3" w14:textId="363BEFA3" w:rsidR="00FC7EF0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4FEA2" wp14:editId="52D2F14F">
            <wp:extent cx="4908550" cy="2677363"/>
            <wp:effectExtent l="0" t="0" r="6350" b="889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29AC9F3-8957-442B-924B-B01DF3001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2F34222" w14:textId="77777777" w:rsidR="00FC7EF0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</w:p>
    <w:p w14:paraId="69A8CE6B" w14:textId="7EB61641" w:rsidR="00FC7EF0" w:rsidRDefault="00FC7EF0" w:rsidP="009F2563">
      <w:pPr>
        <w:pStyle w:val="ListParagraph"/>
        <w:numPr>
          <w:ilvl w:val="1"/>
          <w:numId w:val="1"/>
        </w:numPr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rStyle w:val="HTMLCode"/>
          <w:rFonts w:ascii="Cambria" w:eastAsiaTheme="minorEastAsia" w:hAnsi="Cambria" w:cstheme="minorHAnsi"/>
          <w:sz w:val="24"/>
          <w:szCs w:val="24"/>
        </w:rPr>
        <w:t xml:space="preserve">The success rate trend by year </w:t>
      </w:r>
    </w:p>
    <w:p w14:paraId="1F523DE1" w14:textId="3440A63B" w:rsidR="00FC7EF0" w:rsidRPr="009F2563" w:rsidRDefault="00FC7EF0" w:rsidP="00FC7EF0">
      <w:pPr>
        <w:pStyle w:val="ListParagraph"/>
        <w:ind w:left="1440"/>
        <w:rPr>
          <w:rStyle w:val="HTMLCode"/>
          <w:rFonts w:ascii="Cambria" w:eastAsiaTheme="minorEastAsia" w:hAnsi="Cambri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F35F48F" wp14:editId="1048311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770FFD-9C8B-4B4D-9AFC-A5DC11E589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D47695" w14:textId="77777777" w:rsidR="00D122EA" w:rsidRPr="00D122EA" w:rsidRDefault="00D122EA" w:rsidP="00D122EA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14:paraId="4139BB55" w14:textId="77777777" w:rsidR="00D122EA" w:rsidRPr="00D122EA" w:rsidRDefault="00D122EA" w:rsidP="00D122EA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sectPr w:rsidR="00D122EA" w:rsidRPr="00D122EA">
      <w:footerReference w:type="default" r:id="rId1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515D9" w14:textId="77777777" w:rsidR="00C95B2B" w:rsidRDefault="00C95B2B" w:rsidP="007574A1">
      <w:pPr>
        <w:spacing w:after="0" w:line="240" w:lineRule="auto"/>
      </w:pPr>
      <w:r>
        <w:separator/>
      </w:r>
    </w:p>
  </w:endnote>
  <w:endnote w:type="continuationSeparator" w:id="0">
    <w:p w14:paraId="1DFFD599" w14:textId="77777777" w:rsidR="00C95B2B" w:rsidRDefault="00C95B2B" w:rsidP="0075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18217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4F5C54" w14:textId="14AB6D56" w:rsidR="007574A1" w:rsidRDefault="007574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5CE5C6" w14:textId="77777777" w:rsidR="007574A1" w:rsidRDefault="00757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E9E6E" w14:textId="77777777" w:rsidR="00C95B2B" w:rsidRDefault="00C95B2B" w:rsidP="007574A1">
      <w:pPr>
        <w:spacing w:after="0" w:line="240" w:lineRule="auto"/>
      </w:pPr>
      <w:r>
        <w:separator/>
      </w:r>
    </w:p>
  </w:footnote>
  <w:footnote w:type="continuationSeparator" w:id="0">
    <w:p w14:paraId="50EFB323" w14:textId="77777777" w:rsidR="00C95B2B" w:rsidRDefault="00C95B2B" w:rsidP="0075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62C8"/>
    <w:multiLevelType w:val="multilevel"/>
    <w:tmpl w:val="0B9E2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EA"/>
    <w:rsid w:val="0003297D"/>
    <w:rsid w:val="000A2F17"/>
    <w:rsid w:val="002B3894"/>
    <w:rsid w:val="002E758C"/>
    <w:rsid w:val="00305A9C"/>
    <w:rsid w:val="00343212"/>
    <w:rsid w:val="00401489"/>
    <w:rsid w:val="00474D44"/>
    <w:rsid w:val="00541BF0"/>
    <w:rsid w:val="005E7B85"/>
    <w:rsid w:val="0068637D"/>
    <w:rsid w:val="006B187D"/>
    <w:rsid w:val="006C2FCA"/>
    <w:rsid w:val="007574A1"/>
    <w:rsid w:val="007F13E9"/>
    <w:rsid w:val="008123E5"/>
    <w:rsid w:val="00855E4A"/>
    <w:rsid w:val="00891572"/>
    <w:rsid w:val="00897444"/>
    <w:rsid w:val="008F4538"/>
    <w:rsid w:val="009F2563"/>
    <w:rsid w:val="00AE4393"/>
    <w:rsid w:val="00B44F58"/>
    <w:rsid w:val="00C64777"/>
    <w:rsid w:val="00C95B2B"/>
    <w:rsid w:val="00D122EA"/>
    <w:rsid w:val="00DB14F7"/>
    <w:rsid w:val="00E75B41"/>
    <w:rsid w:val="00E767A9"/>
    <w:rsid w:val="00E925F5"/>
    <w:rsid w:val="00EE546C"/>
    <w:rsid w:val="00F40C5F"/>
    <w:rsid w:val="00F414D9"/>
    <w:rsid w:val="00F72D4B"/>
    <w:rsid w:val="00FC7EF0"/>
    <w:rsid w:val="00FE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B422"/>
  <w15:chartTrackingRefBased/>
  <w15:docId w15:val="{61C9F9D5-D874-4798-BEDC-9D5DB014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122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22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A1"/>
  </w:style>
  <w:style w:type="paragraph" w:styleId="Footer">
    <w:name w:val="footer"/>
    <w:basedOn w:val="Normal"/>
    <w:link w:val="FooterChar"/>
    <w:uiPriority w:val="99"/>
    <w:unhideWhenUsed/>
    <w:rsid w:val="0075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G:\12.Data\DataAnalyticsBootCamp\Excel_W1_W2\Assignment\StarterBook_Jaeho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/>
              <a:t>Goal amt &amp; Chance to Successful and </a:t>
            </a:r>
            <a:r>
              <a:rPr lang="en-US" sz="1200" b="1" baseline="0"/>
              <a:t>Failed</a:t>
            </a:r>
            <a:endParaRPr lang="en-US" sz="1200" b="1"/>
          </a:p>
        </c:rich>
      </c:tx>
      <c:layout>
        <c:manualLayout>
          <c:xMode val="edge"/>
          <c:yMode val="edge"/>
          <c:x val="0.15999293357561073"/>
          <c:y val="2.77476499035011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428242142809072E-2"/>
          <c:y val="2.8194444444444459E-2"/>
          <c:w val="0.93611094286291141"/>
          <c:h val="0.71181382505077595"/>
        </c:manualLayout>
      </c:layout>
      <c:lineChart>
        <c:grouping val="standard"/>
        <c:varyColors val="0"/>
        <c:ser>
          <c:idx val="0"/>
          <c:order val="0"/>
          <c:tx>
            <c:strRef>
              <c:f>Bonus_new_w_8_cols!$F$2</c:f>
              <c:strCache>
                <c:ptCount val="1"/>
                <c:pt idx="0">
                  <c:v>Percentage_Successful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Bonus_new_w_8_cols!$A$3:$A$14</c:f>
              <c:strCache>
                <c:ptCount val="12"/>
                <c:pt idx="0">
                  <c:v>Less than 1000</c:v>
                </c:pt>
                <c:pt idx="1">
                  <c:v>  1000 to 4999</c:v>
                </c:pt>
                <c:pt idx="2">
                  <c:v>  5000 to 9999</c:v>
                </c:pt>
                <c:pt idx="3">
                  <c:v>  10000 to 14999</c:v>
                </c:pt>
                <c:pt idx="4">
                  <c:v>  15000 to 19999</c:v>
                </c:pt>
                <c:pt idx="5">
                  <c:v>  20000 to 24999</c:v>
                </c:pt>
                <c:pt idx="6">
                  <c:v>  25000 to 29999</c:v>
                </c:pt>
                <c:pt idx="7">
                  <c:v>  30000 to 34999</c:v>
                </c:pt>
                <c:pt idx="8">
                  <c:v>  35000 to 39999</c:v>
                </c:pt>
                <c:pt idx="9">
                  <c:v>  40000 to 44999</c:v>
                </c:pt>
                <c:pt idx="10">
                  <c:v>  45000 to 49999</c:v>
                </c:pt>
                <c:pt idx="11">
                  <c:v>  Greater than or equal to 50000</c:v>
                </c:pt>
              </c:strCache>
            </c:strRef>
          </c:cat>
          <c:val>
            <c:numRef>
              <c:f>Bonus_new_w_8_cols!$F$3:$F$14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9F-4DDF-B80A-D03D44E4FB85}"/>
            </c:ext>
          </c:extLst>
        </c:ser>
        <c:ser>
          <c:idx val="1"/>
          <c:order val="1"/>
          <c:tx>
            <c:strRef>
              <c:f>Bonus_new_w_8_cols!$G$2</c:f>
              <c:strCache>
                <c:ptCount val="1"/>
                <c:pt idx="0">
                  <c:v>Percentage_Failed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Bonus_new_w_8_cols!$A$3:$A$14</c:f>
              <c:strCache>
                <c:ptCount val="12"/>
                <c:pt idx="0">
                  <c:v>Less than 1000</c:v>
                </c:pt>
                <c:pt idx="1">
                  <c:v>  1000 to 4999</c:v>
                </c:pt>
                <c:pt idx="2">
                  <c:v>  5000 to 9999</c:v>
                </c:pt>
                <c:pt idx="3">
                  <c:v>  10000 to 14999</c:v>
                </c:pt>
                <c:pt idx="4">
                  <c:v>  15000 to 19999</c:v>
                </c:pt>
                <c:pt idx="5">
                  <c:v>  20000 to 24999</c:v>
                </c:pt>
                <c:pt idx="6">
                  <c:v>  25000 to 29999</c:v>
                </c:pt>
                <c:pt idx="7">
                  <c:v>  30000 to 34999</c:v>
                </c:pt>
                <c:pt idx="8">
                  <c:v>  35000 to 39999</c:v>
                </c:pt>
                <c:pt idx="9">
                  <c:v>  40000 to 44999</c:v>
                </c:pt>
                <c:pt idx="10">
                  <c:v>  45000 to 49999</c:v>
                </c:pt>
                <c:pt idx="11">
                  <c:v>  Greater than or equal to 50000</c:v>
                </c:pt>
              </c:strCache>
            </c:strRef>
          </c:cat>
          <c:val>
            <c:numRef>
              <c:f>Bonus_new_w_8_cols!$G$3:$G$14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9F-4DDF-B80A-D03D44E4FB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5549832"/>
        <c:axId val="905550816"/>
      </c:lineChart>
      <c:catAx>
        <c:axId val="905549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Goal</a:t>
                </a:r>
                <a:r>
                  <a:rPr lang="en-US" baseline="0"/>
                  <a:t> amount, $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4125900127868634"/>
              <c:y val="0.919827402748934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550816"/>
        <c:crosses val="autoZero"/>
        <c:auto val="1"/>
        <c:lblAlgn val="ctr"/>
        <c:lblOffset val="100"/>
        <c:noMultiLvlLbl val="0"/>
      </c:catAx>
      <c:valAx>
        <c:axId val="90555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</a:t>
                </a:r>
                <a:r>
                  <a:rPr lang="en-US" baseline="0"/>
                  <a:t> of  total campaign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4.05982905982906E-2"/>
              <c:y val="0.159567332741375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549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732434887946703"/>
          <c:y val="3.1692729927864323E-2"/>
          <c:w val="0.30544367050272553"/>
          <c:h val="0.173524447608075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246295695701599"/>
          <c:y val="8.6508821031215363E-2"/>
          <c:w val="0.83693260180899121"/>
          <c:h val="0.69059934622266173"/>
        </c:manualLayout>
      </c:layout>
      <c:barChart>
        <c:barDir val="col"/>
        <c:grouping val="stacked"/>
        <c:varyColors val="0"/>
        <c:ser>
          <c:idx val="0"/>
          <c:order val="0"/>
          <c:tx>
            <c:v>successful</c:v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540</c:v>
              </c:pt>
              <c:pt idx="1">
                <c:v>839</c:v>
              </c:pt>
              <c:pt idx="2">
                <c:v>300</c:v>
              </c:pt>
              <c:pt idx="3">
                <c:v>103</c:v>
              </c:pt>
              <c:pt idx="4">
                <c:v>80</c:v>
              </c:pt>
              <c:pt idx="5">
                <c:v>209</c:v>
              </c:pt>
              <c:pt idx="6">
                <c:v>80</c:v>
              </c:pt>
              <c:pt idx="7">
                <c:v>34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5A98-4A27-A513-BE96C9F79A67}"/>
            </c:ext>
          </c:extLst>
        </c:ser>
        <c:ser>
          <c:idx val="1"/>
          <c:order val="1"/>
          <c:tx>
            <c:v>failed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120</c:v>
              </c:pt>
              <c:pt idx="1">
                <c:v>493</c:v>
              </c:pt>
              <c:pt idx="2">
                <c:v>180</c:v>
              </c:pt>
              <c:pt idx="3">
                <c:v>117</c:v>
              </c:pt>
              <c:pt idx="4">
                <c:v>140</c:v>
              </c:pt>
              <c:pt idx="5">
                <c:v>213</c:v>
              </c:pt>
              <c:pt idx="6">
                <c:v>127</c:v>
              </c:pt>
              <c:pt idx="7">
                <c:v>140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5A98-4A27-A513-BE96C9F79A67}"/>
            </c:ext>
          </c:extLst>
        </c:ser>
        <c:ser>
          <c:idx val="2"/>
          <c:order val="2"/>
          <c:tx>
            <c:v>canceled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20</c:v>
              </c:pt>
              <c:pt idx="1">
                <c:v>37</c:v>
              </c:pt>
              <c:pt idx="2">
                <c:v>40</c:v>
              </c:pt>
              <c:pt idx="3">
                <c:v>0</c:v>
              </c:pt>
              <c:pt idx="4">
                <c:v>0</c:v>
              </c:pt>
              <c:pt idx="5">
                <c:v>178</c:v>
              </c:pt>
              <c:pt idx="6">
                <c:v>30</c:v>
              </c:pt>
              <c:pt idx="7">
                <c:v>20</c:v>
              </c:pt>
              <c:pt idx="8">
                <c:v>24</c:v>
              </c:pt>
            </c:numLit>
          </c:val>
          <c:extLst>
            <c:ext xmlns:c16="http://schemas.microsoft.com/office/drawing/2014/chart" uri="{C3380CC4-5D6E-409C-BE32-E72D297353CC}">
              <c16:uniqueId val="{00000002-5A98-4A27-A513-BE96C9F79A67}"/>
            </c:ext>
          </c:extLst>
        </c:ser>
        <c:ser>
          <c:idx val="3"/>
          <c:order val="3"/>
          <c:tx>
            <c:v>live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music</c:v>
              </c:pt>
              <c:pt idx="1">
                <c:v>theater</c:v>
              </c:pt>
              <c:pt idx="2">
                <c:v>film &amp; video</c:v>
              </c:pt>
              <c:pt idx="3">
                <c:v>photography</c:v>
              </c:pt>
              <c:pt idx="4">
                <c:v>games</c:v>
              </c:pt>
              <c:pt idx="5">
                <c:v>technology</c:v>
              </c:pt>
              <c:pt idx="6">
                <c:v>publishing</c:v>
              </c:pt>
              <c:pt idx="7">
                <c:v>food</c:v>
              </c:pt>
              <c:pt idx="8">
                <c:v>journalism</c:v>
              </c:pt>
            </c:strLit>
          </c:cat>
          <c:val>
            <c:numLit>
              <c:formatCode>General</c:formatCode>
              <c:ptCount val="9"/>
              <c:pt idx="0">
                <c:v>20</c:v>
              </c:pt>
              <c:pt idx="1">
                <c:v>24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6</c:v>
              </c:pt>
              <c:pt idx="8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3-5A98-4A27-A513-BE96C9F79A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5332800"/>
        <c:axId val="605333456"/>
      </c:barChart>
      <c:catAx>
        <c:axId val="60533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3456"/>
        <c:crosses val="autoZero"/>
        <c:auto val="1"/>
        <c:lblAlgn val="ctr"/>
        <c:lblOffset val="100"/>
        <c:noMultiLvlLbl val="0"/>
      </c:catAx>
      <c:valAx>
        <c:axId val="60533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</a:t>
                </a:r>
                <a:r>
                  <a:rPr lang="en-US" baseline="0"/>
                  <a:t> of campaign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7.8013262254583285E-2"/>
              <c:y val="3.461758555348364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703735934321434"/>
          <c:y val="0.10070351449256768"/>
          <c:w val="0.18542134840088173"/>
          <c:h val="0.3145663039536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[StarterBook_Jaehong.xlsx]Others!PivotTable1</c:name>
    <c:fmtId val="-1"/>
  </c:pivotSource>
  <c:chart>
    <c:autoTitleDeleted val="0"/>
    <c:pivotFmts>
      <c:pivotFmt>
        <c:idx val="0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92D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9008608045474988E-2"/>
          <c:y val="8.6508821031215363E-2"/>
          <c:w val="0.85504255946754626"/>
          <c:h val="0.7700389732450051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Others!$C$6:$C$7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92D050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Others!$C$8:$C$18</c:f>
              <c:numCache>
                <c:formatCode>_(* #,##0_);_(* \(#,##0\);_(* "-"??_);_(@_)</c:formatCode>
                <c:ptCount val="10"/>
                <c:pt idx="0">
                  <c:v>366</c:v>
                </c:pt>
                <c:pt idx="1">
                  <c:v>1651</c:v>
                </c:pt>
                <c:pt idx="2">
                  <c:v>11</c:v>
                </c:pt>
                <c:pt idx="3">
                  <c:v>64</c:v>
                </c:pt>
                <c:pt idx="4">
                  <c:v>23</c:v>
                </c:pt>
                <c:pt idx="5">
                  <c:v>10</c:v>
                </c:pt>
                <c:pt idx="6">
                  <c:v>7</c:v>
                </c:pt>
                <c:pt idx="7">
                  <c:v>19</c:v>
                </c:pt>
                <c:pt idx="8">
                  <c:v>7</c:v>
                </c:pt>
                <c:pt idx="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A3-41CB-98D2-44555ACC801F}"/>
            </c:ext>
          </c:extLst>
        </c:ser>
        <c:ser>
          <c:idx val="1"/>
          <c:order val="1"/>
          <c:tx>
            <c:strRef>
              <c:f>Others!$D$6:$D$7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Others!$D$8:$D$18</c:f>
              <c:numCache>
                <c:formatCode>_(* #,##0_);_(* \(#,##0\);_(* "-"??_);_(@_)</c:formatCode>
                <c:ptCount val="10"/>
                <c:pt idx="0">
                  <c:v>205</c:v>
                </c:pt>
                <c:pt idx="1">
                  <c:v>1097</c:v>
                </c:pt>
                <c:pt idx="2">
                  <c:v>9</c:v>
                </c:pt>
                <c:pt idx="3">
                  <c:v>64</c:v>
                </c:pt>
                <c:pt idx="4">
                  <c:v>27</c:v>
                </c:pt>
                <c:pt idx="5">
                  <c:v>10</c:v>
                </c:pt>
                <c:pt idx="6">
                  <c:v>9</c:v>
                </c:pt>
                <c:pt idx="7">
                  <c:v>41</c:v>
                </c:pt>
                <c:pt idx="8">
                  <c:v>19</c:v>
                </c:pt>
                <c:pt idx="9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A3-41CB-98D2-44555ACC801F}"/>
            </c:ext>
          </c:extLst>
        </c:ser>
        <c:ser>
          <c:idx val="2"/>
          <c:order val="2"/>
          <c:tx>
            <c:strRef>
              <c:f>Others!$E$6:$E$7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Others!$E$8:$E$18</c:f>
              <c:numCache>
                <c:formatCode>_(* #,##0_);_(* \(#,##0\);_(* "-"??_);_(@_)</c:formatCode>
                <c:ptCount val="10"/>
                <c:pt idx="0">
                  <c:v>25</c:v>
                </c:pt>
                <c:pt idx="1">
                  <c:v>257</c:v>
                </c:pt>
                <c:pt idx="2">
                  <c:v>1</c:v>
                </c:pt>
                <c:pt idx="3">
                  <c:v>17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  <c:pt idx="7">
                  <c:v>14</c:v>
                </c:pt>
                <c:pt idx="8">
                  <c:v>3</c:v>
                </c:pt>
                <c:pt idx="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A3-41CB-98D2-44555ACC801F}"/>
            </c:ext>
          </c:extLst>
        </c:ser>
        <c:ser>
          <c:idx val="3"/>
          <c:order val="3"/>
          <c:tx>
            <c:strRef>
              <c:f>Others!$F$6:$F$7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Others!$B$8:$B$18</c:f>
              <c:strCache>
                <c:ptCount val="10"/>
                <c:pt idx="0">
                  <c:v>GB</c:v>
                </c:pt>
                <c:pt idx="1">
                  <c:v>US</c:v>
                </c:pt>
                <c:pt idx="2">
                  <c:v>ES</c:v>
                </c:pt>
                <c:pt idx="3">
                  <c:v>CA</c:v>
                </c:pt>
                <c:pt idx="4">
                  <c:v>DE</c:v>
                </c:pt>
                <c:pt idx="5">
                  <c:v>FR</c:v>
                </c:pt>
                <c:pt idx="6">
                  <c:v>SE</c:v>
                </c:pt>
                <c:pt idx="7">
                  <c:v>AU</c:v>
                </c:pt>
                <c:pt idx="8">
                  <c:v>IT</c:v>
                </c:pt>
                <c:pt idx="9">
                  <c:v>NL</c:v>
                </c:pt>
              </c:strCache>
            </c:strRef>
          </c:cat>
          <c:val>
            <c:numRef>
              <c:f>Others!$F$8:$F$18</c:f>
              <c:numCache>
                <c:formatCode>_(* #,##0_);_(* \(#,##0\);_(* "-"??_);_(@_)</c:formatCode>
                <c:ptCount val="10"/>
                <c:pt idx="0">
                  <c:v>8</c:v>
                </c:pt>
                <c:pt idx="1">
                  <c:v>33</c:v>
                </c:pt>
                <c:pt idx="3">
                  <c:v>1</c:v>
                </c:pt>
                <c:pt idx="5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BA3-41CB-98D2-44555ACC8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05332800"/>
        <c:axId val="605333456"/>
      </c:barChart>
      <c:catAx>
        <c:axId val="605332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3456"/>
        <c:crosses val="autoZero"/>
        <c:auto val="1"/>
        <c:lblAlgn val="ctr"/>
        <c:lblOffset val="100"/>
        <c:noMultiLvlLbl val="0"/>
      </c:catAx>
      <c:valAx>
        <c:axId val="60533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campaign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6.726563365775115E-2"/>
              <c:y val="0.224942517160935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332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458106062839675"/>
          <c:y val="0.10070351449256768"/>
          <c:w val="0.14121380461453287"/>
          <c:h val="0.3145663039536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456036745406818E-2"/>
          <c:y val="3.2824074074074089E-2"/>
          <c:w val="0.88498840769903764"/>
          <c:h val="0.88292468649752109"/>
        </c:manualLayout>
      </c:layout>
      <c:lineChart>
        <c:grouping val="standard"/>
        <c:varyColors val="0"/>
        <c:ser>
          <c:idx val="0"/>
          <c:order val="0"/>
          <c:tx>
            <c:strRef>
              <c:f>Others!$M$28</c:f>
              <c:strCache>
                <c:ptCount val="1"/>
                <c:pt idx="0">
                  <c:v>Success rate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Others!$L$29:$L$37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Others!$M$29:$M$37</c:f>
              <c:numCache>
                <c:formatCode>0%</c:formatCode>
                <c:ptCount val="9"/>
                <c:pt idx="0">
                  <c:v>0.6428571428571429</c:v>
                </c:pt>
                <c:pt idx="1">
                  <c:v>0.75384615384615383</c:v>
                </c:pt>
                <c:pt idx="2">
                  <c:v>0.79532163742690054</c:v>
                </c:pt>
                <c:pt idx="3">
                  <c:v>0.76595744680851063</c:v>
                </c:pt>
                <c:pt idx="4">
                  <c:v>0.72992700729927007</c:v>
                </c:pt>
                <c:pt idx="5">
                  <c:v>0.48565573770491804</c:v>
                </c:pt>
                <c:pt idx="6">
                  <c:v>0.46285714285714286</c:v>
                </c:pt>
                <c:pt idx="7">
                  <c:v>0.5</c:v>
                </c:pt>
                <c:pt idx="8">
                  <c:v>0.37579617834394907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6D-44DA-8BC0-381748BA4FD6}"/>
            </c:ext>
          </c:extLst>
        </c:ser>
        <c:ser>
          <c:idx val="1"/>
          <c:order val="1"/>
          <c:tx>
            <c:strRef>
              <c:f>Others!$N$28</c:f>
              <c:strCache>
                <c:ptCount val="1"/>
                <c:pt idx="0">
                  <c:v>Failed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Others!$L$29:$L$37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Others!$N$29:$N$37</c:f>
              <c:numCache>
                <c:formatCode>0%</c:formatCode>
                <c:ptCount val="9"/>
                <c:pt idx="0">
                  <c:v>0.2857142857142857</c:v>
                </c:pt>
                <c:pt idx="1">
                  <c:v>0.23076923076923078</c:v>
                </c:pt>
                <c:pt idx="2">
                  <c:v>0.16374269005847952</c:v>
                </c:pt>
                <c:pt idx="3">
                  <c:v>0.21276595744680851</c:v>
                </c:pt>
                <c:pt idx="4">
                  <c:v>0.24452554744525548</c:v>
                </c:pt>
                <c:pt idx="5">
                  <c:v>0.43237704918032788</c:v>
                </c:pt>
                <c:pt idx="6">
                  <c:v>0.43020408163265306</c:v>
                </c:pt>
                <c:pt idx="7">
                  <c:v>0.39578947368421052</c:v>
                </c:pt>
                <c:pt idx="8">
                  <c:v>0.19745222929936307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6D-44DA-8BC0-381748BA4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787888"/>
        <c:axId val="421788544"/>
      </c:lineChart>
      <c:catAx>
        <c:axId val="42178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88544"/>
        <c:crosses val="autoZero"/>
        <c:auto val="1"/>
        <c:lblAlgn val="ctr"/>
        <c:lblOffset val="100"/>
        <c:noMultiLvlLbl val="0"/>
      </c:catAx>
      <c:valAx>
        <c:axId val="42178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78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8795669291338581"/>
          <c:y val="5.1465441819772591E-2"/>
          <c:w val="0.39630883639545056"/>
          <c:h val="0.2263123359580052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24</cp:revision>
  <dcterms:created xsi:type="dcterms:W3CDTF">2020-05-09T23:57:00Z</dcterms:created>
  <dcterms:modified xsi:type="dcterms:W3CDTF">2020-05-11T01:49:00Z</dcterms:modified>
</cp:coreProperties>
</file>