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EC58C4">
      <w:pPr>
        <w:spacing w:after="155"/>
      </w:pPr>
      <w:r>
        <w:rPr>
          <w:rFonts w:ascii="標楷體" w:eastAsia="標楷體" w:hAnsi="標楷體" w:cs="標楷體"/>
          <w:sz w:val="24"/>
        </w:rPr>
        <w:t>臺北市立松山高中一</w:t>
      </w:r>
      <w:r>
        <w:rPr>
          <w:rFonts w:ascii="標楷體" w:eastAsia="標楷體" w:hAnsi="標楷體" w:cs="標楷體"/>
          <w:sz w:val="24"/>
        </w:rPr>
        <w:t>O</w:t>
      </w:r>
      <w:r w:rsidR="00973B61">
        <w:rPr>
          <w:rFonts w:ascii="標楷體" w:eastAsia="標楷體" w:hAnsi="標楷體" w:cs="標楷體" w:hint="eastAsia"/>
          <w:sz w:val="24"/>
        </w:rPr>
        <w:t>九</w:t>
      </w:r>
      <w:r>
        <w:rPr>
          <w:rFonts w:ascii="標楷體" w:eastAsia="標楷體" w:hAnsi="標楷體" w:cs="標楷體"/>
          <w:sz w:val="24"/>
        </w:rPr>
        <w:t>學年度第一學期高一國文科教學活動</w:t>
      </w:r>
      <w:r>
        <w:rPr>
          <w:rFonts w:ascii="標楷體" w:eastAsia="標楷體" w:hAnsi="標楷體" w:cs="標楷體"/>
          <w:sz w:val="24"/>
        </w:rPr>
        <w:t xml:space="preserve"> </w:t>
      </w:r>
    </w:p>
    <w:p w:rsidR="00BB0F38" w:rsidRDefault="00973B61">
      <w:pPr>
        <w:spacing w:after="0"/>
        <w:ind w:left="10" w:right="-15" w:hanging="10"/>
        <w:jc w:val="right"/>
      </w:pPr>
      <w:r>
        <w:rPr>
          <w:rFonts w:ascii="標楷體" w:eastAsia="標楷體" w:hAnsi="標楷體" w:cs="標楷體"/>
          <w:sz w:val="24"/>
        </w:rPr>
        <w:t>實施計畫書</w:t>
      </w:r>
    </w:p>
    <w:tbl>
      <w:tblPr>
        <w:tblStyle w:val="TableGrid"/>
        <w:tblW w:w="9748" w:type="dxa"/>
        <w:tblInd w:w="228" w:type="dxa"/>
        <w:tblCellMar>
          <w:top w:w="65" w:type="dxa"/>
          <w:left w:w="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2488"/>
        <w:gridCol w:w="2760"/>
        <w:gridCol w:w="1800"/>
        <w:gridCol w:w="2132"/>
      </w:tblGrid>
      <w:tr w:rsidR="00BB0F38">
        <w:trPr>
          <w:trHeight w:val="380"/>
        </w:trPr>
        <w:tc>
          <w:tcPr>
            <w:tcW w:w="56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43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教材</w:t>
            </w:r>
          </w:p>
        </w:tc>
        <w:tc>
          <w:tcPr>
            <w:tcW w:w="24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-44"/>
            </w:pP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單元主題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26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教學目標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299"/>
            </w:pPr>
            <w:r>
              <w:rPr>
                <w:rFonts w:ascii="標楷體" w:eastAsia="標楷體" w:hAnsi="標楷體" w:cs="標楷體"/>
                <w:sz w:val="24"/>
              </w:rPr>
              <w:t>教學與評量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  <w:tc>
          <w:tcPr>
            <w:tcW w:w="21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B0F38" w:rsidRDefault="00EC58C4">
            <w:pPr>
              <w:spacing w:after="0"/>
              <w:ind w:left="346"/>
            </w:pPr>
            <w:r>
              <w:rPr>
                <w:rFonts w:ascii="標楷體" w:eastAsia="標楷體" w:hAnsi="標楷體" w:cs="標楷體"/>
                <w:sz w:val="24"/>
              </w:rPr>
              <w:t>成績計算方式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</w:tr>
      <w:tr w:rsidR="00BB0F38">
        <w:trPr>
          <w:trHeight w:val="8789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國文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師說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只因為年輕啊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項</w:t>
            </w:r>
            <w:proofErr w:type="gramStart"/>
            <w:r>
              <w:rPr>
                <w:rFonts w:ascii="細明體" w:eastAsia="細明體" w:hAnsi="細明體" w:cs="細明體"/>
                <w:sz w:val="24"/>
              </w:rPr>
              <w:t>脊軒志</w:t>
            </w:r>
            <w:proofErr w:type="gramEnd"/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再別康橋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桃花源記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發現事理的樂趣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范進中舉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孔乙己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樂府古詩選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proofErr w:type="gramStart"/>
            <w:r>
              <w:rPr>
                <w:rFonts w:ascii="細明體" w:eastAsia="細明體" w:hAnsi="細明體" w:cs="細明體"/>
                <w:sz w:val="24"/>
              </w:rPr>
              <w:t>髻</w:t>
            </w:r>
            <w:proofErr w:type="gramEnd"/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小王子與狐狸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樂府詩選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95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(</w:t>
            </w:r>
            <w:proofErr w:type="gramStart"/>
            <w:r>
              <w:rPr>
                <w:rFonts w:ascii="細明體" w:eastAsia="細明體" w:hAnsi="細明體" w:cs="細明體"/>
                <w:sz w:val="24"/>
              </w:rPr>
              <w:t>一</w:t>
            </w:r>
            <w:proofErr w:type="gramEnd"/>
            <w:r>
              <w:rPr>
                <w:rFonts w:ascii="細明體" w:eastAsia="細明體" w:hAnsi="細明體" w:cs="細明體"/>
                <w:sz w:val="24"/>
              </w:rPr>
              <w:t xml:space="preserve">) </w:t>
            </w:r>
            <w:proofErr w:type="gramStart"/>
            <w:r>
              <w:rPr>
                <w:rFonts w:ascii="細明體" w:eastAsia="細明體" w:hAnsi="細明體" w:cs="細明體"/>
                <w:sz w:val="24"/>
              </w:rPr>
              <w:t>陌</w:t>
            </w:r>
            <w:proofErr w:type="gramEnd"/>
            <w:r>
              <w:rPr>
                <w:rFonts w:ascii="細明體" w:eastAsia="細明體" w:hAnsi="細明體" w:cs="細明體"/>
                <w:sz w:val="24"/>
              </w:rPr>
              <w:t>上桑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95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(</w:t>
            </w:r>
            <w:r>
              <w:rPr>
                <w:rFonts w:ascii="細明體" w:eastAsia="細明體" w:hAnsi="細明體" w:cs="細明體"/>
                <w:sz w:val="24"/>
              </w:rPr>
              <w:t>二</w:t>
            </w:r>
            <w:r>
              <w:rPr>
                <w:rFonts w:ascii="細明體" w:eastAsia="細明體" w:hAnsi="細明體" w:cs="細明體"/>
                <w:sz w:val="24"/>
              </w:rPr>
              <w:t>)</w:t>
            </w:r>
            <w:r>
              <w:rPr>
                <w:rFonts w:ascii="細明體" w:eastAsia="細明體" w:hAnsi="細明體" w:cs="細明體"/>
                <w:sz w:val="24"/>
              </w:rPr>
              <w:t>行行重行行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0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 xml:space="preserve">13. </w:t>
            </w:r>
            <w:r>
              <w:rPr>
                <w:rFonts w:ascii="細明體" w:eastAsia="細明體" w:hAnsi="細明體" w:cs="細明體"/>
                <w:sz w:val="24"/>
              </w:rPr>
              <w:t>文教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numPr>
                <w:ilvl w:val="0"/>
                <w:numId w:val="2"/>
              </w:numPr>
              <w:spacing w:after="95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>能力培養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95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1.</w:t>
            </w:r>
            <w:r>
              <w:rPr>
                <w:rFonts w:ascii="細明體" w:eastAsia="細明體" w:hAnsi="細明體" w:cs="細明體"/>
                <w:sz w:val="24"/>
              </w:rPr>
              <w:t>能分析、鑑賞現代文學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95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能以流暢之白話文寫作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72" w:line="277" w:lineRule="auto"/>
              <w:ind w:left="220" w:hanging="192"/>
            </w:pPr>
            <w:r>
              <w:rPr>
                <w:rFonts w:ascii="細明體" w:eastAsia="細明體" w:hAnsi="細明體" w:cs="細明體"/>
                <w:sz w:val="24"/>
              </w:rPr>
              <w:t>3.</w:t>
            </w:r>
            <w:r>
              <w:rPr>
                <w:rFonts w:ascii="細明體" w:eastAsia="細明體" w:hAnsi="細明體" w:cs="細明體"/>
                <w:sz w:val="24"/>
              </w:rPr>
              <w:t>能理解、分析、鑑賞文言文、小說及唐詩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72" w:line="277" w:lineRule="auto"/>
              <w:ind w:left="220" w:hanging="192"/>
            </w:pPr>
            <w:r>
              <w:rPr>
                <w:rFonts w:ascii="細明體" w:eastAsia="細明體" w:hAnsi="細明體" w:cs="細明體"/>
                <w:sz w:val="24"/>
              </w:rPr>
              <w:t>4.</w:t>
            </w:r>
            <w:r>
              <w:rPr>
                <w:rFonts w:ascii="細明體" w:eastAsia="細明體" w:hAnsi="細明體" w:cs="細明體"/>
                <w:sz w:val="24"/>
              </w:rPr>
              <w:t>能理解、分析、鑑賞近體詩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95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5.</w:t>
            </w:r>
            <w:r>
              <w:rPr>
                <w:rFonts w:ascii="細明體" w:eastAsia="細明體" w:hAnsi="細明體" w:cs="細明體"/>
                <w:sz w:val="24"/>
              </w:rPr>
              <w:t>培養人文關懷之精神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72" w:line="277" w:lineRule="auto"/>
              <w:ind w:left="220" w:hanging="192"/>
            </w:pPr>
            <w:r>
              <w:rPr>
                <w:rFonts w:ascii="細明體" w:eastAsia="細明體" w:hAnsi="細明體" w:cs="細明體"/>
                <w:sz w:val="24"/>
              </w:rPr>
              <w:t>6.</w:t>
            </w:r>
            <w:r>
              <w:rPr>
                <w:rFonts w:ascii="細明體" w:eastAsia="細明體" w:hAnsi="細明體" w:cs="細明體"/>
                <w:sz w:val="24"/>
              </w:rPr>
              <w:t>藉由延伸學習，培養多元智慧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2"/>
              </w:numPr>
              <w:spacing w:after="23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>學力測驗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rFonts w:ascii="細明體" w:eastAsia="細明體" w:hAnsi="細明體" w:cs="細明體"/>
                <w:sz w:val="24"/>
              </w:rPr>
              <w:t>掌握命題趨勢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rFonts w:ascii="細明體" w:eastAsia="細明體" w:hAnsi="細明體" w:cs="細明體"/>
                <w:sz w:val="24"/>
              </w:rPr>
              <w:t>厚植語文能力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0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numPr>
                <w:ilvl w:val="0"/>
                <w:numId w:val="4"/>
              </w:numPr>
              <w:spacing w:after="23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>教學方式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1.</w:t>
            </w:r>
            <w:r>
              <w:rPr>
                <w:rFonts w:ascii="細明體" w:eastAsia="細明體" w:hAnsi="細明體" w:cs="細明體"/>
                <w:sz w:val="24"/>
              </w:rPr>
              <w:t>教師講述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師生問答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3.</w:t>
            </w:r>
            <w:r>
              <w:rPr>
                <w:rFonts w:ascii="細明體" w:eastAsia="細明體" w:hAnsi="細明體" w:cs="細明體"/>
                <w:sz w:val="24"/>
              </w:rPr>
              <w:t>小組討論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4.</w:t>
            </w:r>
            <w:r>
              <w:rPr>
                <w:rFonts w:ascii="細明體" w:eastAsia="細明體" w:hAnsi="細明體" w:cs="細明體"/>
                <w:sz w:val="24"/>
              </w:rPr>
              <w:t>圖表展示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5.</w:t>
            </w:r>
            <w:r>
              <w:rPr>
                <w:rFonts w:ascii="細明體" w:eastAsia="細明體" w:hAnsi="細明體" w:cs="細明體"/>
                <w:sz w:val="24"/>
              </w:rPr>
              <w:t>媒體輔助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6.</w:t>
            </w:r>
            <w:r>
              <w:rPr>
                <w:rFonts w:ascii="細明體" w:eastAsia="細明體" w:hAnsi="細明體" w:cs="細明體"/>
                <w:sz w:val="24"/>
              </w:rPr>
              <w:t>自學輔導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4"/>
              </w:numPr>
              <w:spacing w:after="23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>評量方式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1.</w:t>
            </w:r>
            <w:r>
              <w:rPr>
                <w:rFonts w:ascii="細明體" w:eastAsia="細明體" w:hAnsi="細明體" w:cs="細明體"/>
                <w:sz w:val="24"/>
              </w:rPr>
              <w:t>紙筆測驗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語文表達能力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>（作文）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3.</w:t>
            </w:r>
            <w:r>
              <w:rPr>
                <w:rFonts w:ascii="細明體" w:eastAsia="細明體" w:hAnsi="細明體" w:cs="細明體"/>
                <w:sz w:val="24"/>
              </w:rPr>
              <w:t>書面報告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4.</w:t>
            </w:r>
            <w:r>
              <w:rPr>
                <w:rFonts w:ascii="細明體" w:eastAsia="細明體" w:hAnsi="細明體" w:cs="細明體"/>
                <w:sz w:val="24"/>
              </w:rPr>
              <w:t>課堂表現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5.</w:t>
            </w:r>
            <w:r>
              <w:rPr>
                <w:rFonts w:ascii="細明體" w:eastAsia="細明體" w:hAnsi="細明體" w:cs="細明體"/>
                <w:sz w:val="24"/>
              </w:rPr>
              <w:t>小組報告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6.</w:t>
            </w:r>
            <w:r>
              <w:rPr>
                <w:rFonts w:ascii="細明體" w:eastAsia="細明體" w:hAnsi="細明體" w:cs="細明體"/>
                <w:sz w:val="24"/>
              </w:rPr>
              <w:t>學習單寫作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1112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7.</w:t>
            </w:r>
            <w:r>
              <w:rPr>
                <w:rFonts w:ascii="細明體" w:eastAsia="細明體" w:hAnsi="細明體" w:cs="細明體"/>
                <w:sz w:val="24"/>
              </w:rPr>
              <w:t>口頭問答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1241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-29"/>
            </w:pP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0"/>
              <w:ind w:left="-29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B0F38" w:rsidRDefault="00EC58C4">
            <w:pPr>
              <w:spacing w:after="0" w:line="277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一、期中及期末考成績二、平時成績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1.</w:t>
            </w:r>
            <w:r>
              <w:rPr>
                <w:rFonts w:ascii="細明體" w:eastAsia="細明體" w:hAnsi="細明體" w:cs="細明體"/>
                <w:sz w:val="24"/>
              </w:rPr>
              <w:t>語文表達能力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>（作文）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小組報告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3.</w:t>
            </w:r>
            <w:r>
              <w:rPr>
                <w:rFonts w:ascii="細明體" w:eastAsia="細明體" w:hAnsi="細明體" w:cs="細明體"/>
                <w:sz w:val="24"/>
              </w:rPr>
              <w:t>紙筆測驗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4.</w:t>
            </w:r>
            <w:r>
              <w:rPr>
                <w:rFonts w:ascii="細明體" w:eastAsia="細明體" w:hAnsi="細明體" w:cs="細明體"/>
                <w:sz w:val="24"/>
              </w:rPr>
              <w:t>課堂表現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5.</w:t>
            </w:r>
            <w:r>
              <w:rPr>
                <w:rFonts w:ascii="細明體" w:eastAsia="細明體" w:hAnsi="細明體" w:cs="細明體"/>
                <w:sz w:val="24"/>
              </w:rPr>
              <w:t>學習單創作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6.</w:t>
            </w:r>
            <w:r>
              <w:rPr>
                <w:rFonts w:ascii="細明體" w:eastAsia="細明體" w:hAnsi="細明體" w:cs="細明體"/>
                <w:sz w:val="24"/>
              </w:rPr>
              <w:t>書面報告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7.</w:t>
            </w:r>
            <w:r>
              <w:rPr>
                <w:rFonts w:ascii="細明體" w:eastAsia="細明體" w:hAnsi="細明體" w:cs="細明體"/>
                <w:sz w:val="24"/>
              </w:rPr>
              <w:t>口頭問答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0" w:line="277" w:lineRule="auto"/>
              <w:ind w:left="28" w:right="2015"/>
            </w:pP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25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附註：</w:t>
            </w: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1" w:line="288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日常考查：</w:t>
            </w:r>
            <w:r>
              <w:rPr>
                <w:rFonts w:ascii="細明體" w:eastAsia="細明體" w:hAnsi="細明體" w:cs="細明體"/>
                <w:sz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</w:rPr>
              <w:t>%</w:t>
            </w:r>
            <w:r>
              <w:rPr>
                <w:rFonts w:ascii="細明體" w:eastAsia="細明體" w:hAnsi="細明體" w:cs="細明體"/>
                <w:sz w:val="24"/>
              </w:rPr>
              <w:t>（含開學考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  <w:r>
              <w:rPr>
                <w:rFonts w:ascii="細明體" w:eastAsia="細明體" w:hAnsi="細明體" w:cs="細明體"/>
                <w:sz w:val="24"/>
              </w:rPr>
              <w:t>）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B0F38" w:rsidRDefault="00EC58C4">
            <w:pPr>
              <w:spacing w:after="30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兩次期中考：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25% </w:t>
            </w:r>
          </w:p>
          <w:p w:rsidR="00BB0F38" w:rsidRDefault="00EC58C4">
            <w:pPr>
              <w:spacing w:after="26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期末考：</w:t>
            </w:r>
            <w:r>
              <w:rPr>
                <w:rFonts w:ascii="細明體" w:eastAsia="細明體" w:hAnsi="細明體" w:cs="細明體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  <w:p w:rsidR="00BB0F38" w:rsidRDefault="00EC58C4">
            <w:pPr>
              <w:spacing w:after="3" w:line="284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作文（含作業、報告）：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細明體" w:eastAsia="細明體" w:hAnsi="細明體" w:cs="細明體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  <w:p w:rsidR="00BB0F38" w:rsidRDefault="00EC58C4">
            <w:pPr>
              <w:spacing w:after="1241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第一次段考：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>10/8</w:t>
            </w:r>
            <w:r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 xml:space="preserve">10/9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第二次段考：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0" w:line="277" w:lineRule="auto"/>
              <w:ind w:left="28" w:firstLine="240"/>
            </w:pPr>
            <w:r>
              <w:rPr>
                <w:rFonts w:ascii="細明體" w:eastAsia="細明體" w:hAnsi="細明體" w:cs="細明體"/>
                <w:sz w:val="24"/>
              </w:rPr>
              <w:t>11/25</w:t>
            </w:r>
            <w:r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 xml:space="preserve">11/26 </w:t>
            </w:r>
            <w:r>
              <w:rPr>
                <w:rFonts w:ascii="細明體" w:eastAsia="細明體" w:hAnsi="細明體" w:cs="細明體"/>
                <w:sz w:val="24"/>
              </w:rPr>
              <w:t>期末考：</w:t>
            </w: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0"/>
              <w:ind w:left="113"/>
              <w:jc w:val="center"/>
            </w:pPr>
            <w:r>
              <w:rPr>
                <w:rFonts w:ascii="細明體" w:eastAsia="細明體" w:hAnsi="細明體" w:cs="細明體"/>
                <w:sz w:val="24"/>
              </w:rPr>
              <w:t>1/14</w:t>
            </w:r>
            <w:r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>1/15</w:t>
            </w:r>
            <w:r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 xml:space="preserve">1/16 </w:t>
            </w:r>
          </w:p>
        </w:tc>
      </w:tr>
      <w:tr w:rsidR="00BB0F38">
        <w:trPr>
          <w:trHeight w:val="2528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輔助教材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 w:rsidP="00973B61">
            <w:pPr>
              <w:spacing w:after="0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 w:rsidR="00973B61" w:rsidRPr="00973B61">
              <w:rPr>
                <w:rFonts w:ascii="細明體" w:eastAsia="細明體" w:hAnsi="細明體" w:cs="細明體" w:hint="eastAsia"/>
                <w:sz w:val="24"/>
              </w:rPr>
              <w:t>《想讀享讀》（翰林）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1.</w:t>
            </w:r>
            <w:r>
              <w:rPr>
                <w:rFonts w:ascii="細明體" w:eastAsia="細明體" w:hAnsi="細明體" w:cs="細明體"/>
                <w:sz w:val="24"/>
              </w:rPr>
              <w:t>培養文章摘要、歸納能力</w:t>
            </w:r>
          </w:p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培養語文表達、寫作能力</w:t>
            </w:r>
          </w:p>
          <w:p w:rsidR="00BB0F38" w:rsidRDefault="00EC58C4">
            <w:pPr>
              <w:spacing w:after="0"/>
              <w:ind w:left="179" w:hanging="151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</w:t>
            </w:r>
            <w:r>
              <w:rPr>
                <w:rFonts w:ascii="細明體" w:eastAsia="細明體" w:hAnsi="細明體" w:cs="細明體"/>
                <w:sz w:val="24"/>
              </w:rPr>
              <w:t>培養資料選輯、運用之能力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BB0F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B0F38" w:rsidRDefault="00BB0F38"/>
        </w:tc>
      </w:tr>
      <w:tr w:rsidR="00BB0F38">
        <w:trPr>
          <w:trHeight w:val="1194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備註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</w:p>
        </w:tc>
        <w:tc>
          <w:tcPr>
            <w:tcW w:w="9180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BB0F38" w:rsidRDefault="00EC58C4">
            <w:pPr>
              <w:spacing w:after="23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版本：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《國文》（龍騰）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973B61">
            <w:pPr>
              <w:spacing w:after="0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《</w:t>
            </w:r>
            <w:r>
              <w:rPr>
                <w:rFonts w:ascii="細明體" w:eastAsia="細明體" w:hAnsi="細明體" w:cs="細明體" w:hint="eastAsia"/>
                <w:sz w:val="24"/>
              </w:rPr>
              <w:t>想讀享讀</w:t>
            </w:r>
            <w:r w:rsidR="00EC58C4">
              <w:rPr>
                <w:rFonts w:ascii="細明體" w:eastAsia="細明體" w:hAnsi="細明體" w:cs="細明體"/>
                <w:sz w:val="24"/>
              </w:rPr>
              <w:t>》（翰林）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</w:tbl>
    <w:p w:rsidR="00BB0F38" w:rsidRPr="00973B61" w:rsidRDefault="00EC58C4" w:rsidP="00EC58C4">
      <w:pPr>
        <w:spacing w:after="0"/>
        <w:rPr>
          <w:rFonts w:eastAsiaTheme="minorEastAsia" w:hint="eastAsia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bookmarkStart w:id="0" w:name="_GoBack"/>
      <w:bookmarkEnd w:id="0"/>
    </w:p>
    <w:sectPr w:rsidR="00BB0F38" w:rsidRPr="00973B61">
      <w:pgSz w:w="11906" w:h="16838"/>
      <w:pgMar w:top="773" w:right="868" w:bottom="187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527"/>
    <w:multiLevelType w:val="hybridMultilevel"/>
    <w:tmpl w:val="4FBEC45E"/>
    <w:lvl w:ilvl="0" w:tplc="0214067A">
      <w:start w:val="1"/>
      <w:numFmt w:val="ideographDigital"/>
      <w:lvlText w:val="%1、"/>
      <w:lvlJc w:val="left"/>
      <w:pPr>
        <w:ind w:left="5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836E4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CD88E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73F4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CA378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6CEF4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86252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2E686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A67A8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D5765"/>
    <w:multiLevelType w:val="hybridMultilevel"/>
    <w:tmpl w:val="FA900C6C"/>
    <w:lvl w:ilvl="0" w:tplc="0EAADB3C">
      <w:start w:val="1"/>
      <w:numFmt w:val="ideographDigital"/>
      <w:lvlText w:val="%1、"/>
      <w:lvlJc w:val="left"/>
      <w:pPr>
        <w:ind w:left="5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4B58E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CC378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2EAAC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59E2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A880C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2933A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CBC0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687F6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14FA5"/>
    <w:multiLevelType w:val="hybridMultilevel"/>
    <w:tmpl w:val="571091AC"/>
    <w:lvl w:ilvl="0" w:tplc="EA14BF7C">
      <w:start w:val="1"/>
      <w:numFmt w:val="decimal"/>
      <w:lvlText w:val="%1."/>
      <w:lvlJc w:val="left"/>
      <w:pPr>
        <w:ind w:left="3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2E31A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E37A0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6CF54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2C838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8FEF6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4679DC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464D4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E8208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DE7EBE"/>
    <w:multiLevelType w:val="hybridMultilevel"/>
    <w:tmpl w:val="3E909F7C"/>
    <w:lvl w:ilvl="0" w:tplc="DAE8A62A">
      <w:start w:val="1"/>
      <w:numFmt w:val="decimal"/>
      <w:lvlText w:val="%1."/>
      <w:lvlJc w:val="left"/>
      <w:pPr>
        <w:ind w:left="431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0F666">
      <w:start w:val="1"/>
      <w:numFmt w:val="lowerLetter"/>
      <w:lvlText w:val="%2"/>
      <w:lvlJc w:val="left"/>
      <w:pPr>
        <w:ind w:left="110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29298">
      <w:start w:val="1"/>
      <w:numFmt w:val="lowerRoman"/>
      <w:lvlText w:val="%3"/>
      <w:lvlJc w:val="left"/>
      <w:pPr>
        <w:ind w:left="182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EFD32">
      <w:start w:val="1"/>
      <w:numFmt w:val="decimal"/>
      <w:lvlText w:val="%4"/>
      <w:lvlJc w:val="left"/>
      <w:pPr>
        <w:ind w:left="254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A7B76">
      <w:start w:val="1"/>
      <w:numFmt w:val="lowerLetter"/>
      <w:lvlText w:val="%5"/>
      <w:lvlJc w:val="left"/>
      <w:pPr>
        <w:ind w:left="326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00F12">
      <w:start w:val="1"/>
      <w:numFmt w:val="lowerRoman"/>
      <w:lvlText w:val="%6"/>
      <w:lvlJc w:val="left"/>
      <w:pPr>
        <w:ind w:left="398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BAE2">
      <w:start w:val="1"/>
      <w:numFmt w:val="decimal"/>
      <w:lvlText w:val="%7"/>
      <w:lvlJc w:val="left"/>
      <w:pPr>
        <w:ind w:left="470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8F188">
      <w:start w:val="1"/>
      <w:numFmt w:val="lowerLetter"/>
      <w:lvlText w:val="%8"/>
      <w:lvlJc w:val="left"/>
      <w:pPr>
        <w:ind w:left="542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84242">
      <w:start w:val="1"/>
      <w:numFmt w:val="lowerRoman"/>
      <w:lvlText w:val="%9"/>
      <w:lvlJc w:val="left"/>
      <w:pPr>
        <w:ind w:left="614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38"/>
    <w:rsid w:val="00973B61"/>
    <w:rsid w:val="00BB0F38"/>
    <w:rsid w:val="00E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3BAB"/>
  <w15:docId w15:val="{30BBEE52-3EDC-4B65-AEEE-B12ACC9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臺北市立松山高中九十六學年度第一學期高一國文科教學活動</dc:title>
  <dc:subject/>
  <dc:creator>turpo</dc:creator>
  <cp:keywords/>
  <cp:lastModifiedBy>user</cp:lastModifiedBy>
  <cp:revision>3</cp:revision>
  <dcterms:created xsi:type="dcterms:W3CDTF">2020-09-08T08:08:00Z</dcterms:created>
  <dcterms:modified xsi:type="dcterms:W3CDTF">2020-09-08T08:08:00Z</dcterms:modified>
</cp:coreProperties>
</file>