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46" w:rsidRPr="001A6CF6" w:rsidRDefault="00EA2846" w:rsidP="006B7066">
      <w:pPr>
        <w:pStyle w:val="a3"/>
        <w:tabs>
          <w:tab w:val="left" w:pos="5752"/>
        </w:tabs>
        <w:spacing w:before="11" w:line="480" w:lineRule="exact"/>
        <w:ind w:left="470"/>
        <w:rPr>
          <w:rFonts w:ascii="標楷體" w:eastAsia="標楷體" w:hAnsi="標楷體"/>
        </w:rPr>
      </w:pPr>
      <w:r w:rsidRPr="001A6CF6">
        <w:rPr>
          <w:rFonts w:ascii="標楷體" w:eastAsia="標楷體" w:hAnsi="標楷體"/>
        </w:rPr>
        <w:t>台北市立松</w:t>
      </w:r>
      <w:r w:rsidRPr="001A6CF6">
        <w:rPr>
          <w:rFonts w:ascii="標楷體" w:eastAsia="標楷體" w:hAnsi="標楷體"/>
          <w:spacing w:val="10"/>
        </w:rPr>
        <w:t>山</w:t>
      </w:r>
      <w:r w:rsidRPr="001A6CF6">
        <w:rPr>
          <w:rFonts w:ascii="標楷體" w:eastAsia="標楷體" w:hAnsi="標楷體"/>
        </w:rPr>
        <w:t>高中</w:t>
      </w:r>
      <w:r w:rsidRPr="001A6CF6">
        <w:rPr>
          <w:rFonts w:ascii="標楷體" w:eastAsia="標楷體" w:hAnsi="標楷體"/>
          <w:spacing w:val="68"/>
        </w:rPr>
        <w:t xml:space="preserve"> </w:t>
      </w:r>
      <w:r w:rsidRPr="001A6CF6">
        <w:rPr>
          <w:rFonts w:ascii="標楷體" w:eastAsia="標楷體" w:hAnsi="標楷體"/>
        </w:rPr>
        <w:t>111</w:t>
      </w:r>
      <w:r w:rsidRPr="001A6CF6">
        <w:rPr>
          <w:rFonts w:ascii="標楷體" w:eastAsia="標楷體" w:hAnsi="標楷體"/>
          <w:spacing w:val="55"/>
        </w:rPr>
        <w:t xml:space="preserve"> </w:t>
      </w:r>
      <w:r w:rsidRPr="001A6CF6">
        <w:rPr>
          <w:rFonts w:ascii="標楷體" w:eastAsia="標楷體" w:hAnsi="標楷體"/>
        </w:rPr>
        <w:t>學年度第二</w:t>
      </w:r>
      <w:r w:rsidRPr="001A6CF6">
        <w:rPr>
          <w:rFonts w:ascii="標楷體" w:eastAsia="標楷體" w:hAnsi="標楷體"/>
          <w:spacing w:val="10"/>
        </w:rPr>
        <w:t>學</w:t>
      </w:r>
      <w:r w:rsidRPr="001A6CF6">
        <w:rPr>
          <w:rFonts w:ascii="標楷體" w:eastAsia="標楷體" w:hAnsi="標楷體"/>
        </w:rPr>
        <w:t>期</w:t>
      </w:r>
      <w:r w:rsidRPr="001A6CF6">
        <w:rPr>
          <w:rFonts w:ascii="標楷體" w:eastAsia="標楷體" w:hAnsi="標楷體"/>
        </w:rPr>
        <w:tab/>
      </w:r>
      <w:r w:rsidRPr="001A6CF6">
        <w:rPr>
          <w:rFonts w:ascii="標楷體" w:eastAsia="標楷體" w:hAnsi="標楷體"/>
          <w:w w:val="90"/>
        </w:rPr>
        <w:t>高二國文科教學進度</w:t>
      </w:r>
      <w:r w:rsidRPr="001A6CF6">
        <w:rPr>
          <w:rFonts w:ascii="標楷體" w:eastAsia="標楷體" w:hAnsi="標楷體"/>
          <w:spacing w:val="184"/>
        </w:rPr>
        <w:t xml:space="preserve"> </w:t>
      </w:r>
      <w:r w:rsidRPr="001A6CF6">
        <w:rPr>
          <w:rFonts w:ascii="標楷體" w:eastAsia="標楷體" w:hAnsi="標楷體"/>
          <w:w w:val="90"/>
        </w:rPr>
        <w:t>定期考試範圍</w:t>
      </w:r>
    </w:p>
    <w:tbl>
      <w:tblPr>
        <w:tblW w:w="1046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2"/>
        <w:gridCol w:w="2977"/>
        <w:gridCol w:w="3121"/>
        <w:gridCol w:w="3070"/>
      </w:tblGrid>
      <w:tr w:rsidR="00E22FF4" w:rsidRPr="0024430E" w:rsidTr="0024430E">
        <w:trPr>
          <w:trHeight w:val="1148"/>
        </w:trPr>
        <w:tc>
          <w:tcPr>
            <w:tcW w:w="1292" w:type="dxa"/>
          </w:tcPr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考試項目及範圍</w:t>
            </w:r>
          </w:p>
        </w:tc>
        <w:tc>
          <w:tcPr>
            <w:tcW w:w="2977" w:type="dxa"/>
          </w:tcPr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第一次期中考</w:t>
            </w:r>
          </w:p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3/</w:t>
            </w:r>
            <w:r w:rsidRPr="0024430E">
              <w:rPr>
                <w:rFonts w:ascii="標楷體" w:eastAsia="標楷體" w:hAnsi="標楷體"/>
                <w:b/>
                <w:sz w:val="26"/>
                <w:szCs w:val="26"/>
              </w:rPr>
              <w:t>23</w:t>
            </w:r>
            <w:r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、2</w:t>
            </w:r>
            <w:r w:rsidRPr="0024430E"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121" w:type="dxa"/>
          </w:tcPr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第二次期中考</w:t>
            </w:r>
          </w:p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4430E">
              <w:rPr>
                <w:rFonts w:ascii="標楷體" w:eastAsia="標楷體" w:hAnsi="標楷體"/>
                <w:b/>
                <w:sz w:val="26"/>
                <w:szCs w:val="26"/>
              </w:rPr>
              <w:t>5</w:t>
            </w:r>
            <w:r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/1</w:t>
            </w:r>
            <w:r w:rsidRPr="0024430E">
              <w:rPr>
                <w:rFonts w:ascii="標楷體" w:eastAsia="標楷體" w:hAnsi="標楷體"/>
                <w:b/>
                <w:sz w:val="26"/>
                <w:szCs w:val="26"/>
              </w:rPr>
              <w:t>5</w:t>
            </w:r>
            <w:r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、1</w:t>
            </w:r>
            <w:r w:rsidRPr="0024430E">
              <w:rPr>
                <w:rFonts w:ascii="標楷體" w:eastAsia="標楷體" w:hAnsi="標楷體"/>
                <w:b/>
                <w:sz w:val="26"/>
                <w:szCs w:val="26"/>
              </w:rPr>
              <w:t>6</w:t>
            </w:r>
          </w:p>
        </w:tc>
        <w:tc>
          <w:tcPr>
            <w:tcW w:w="3070" w:type="dxa"/>
          </w:tcPr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期末考</w:t>
            </w:r>
          </w:p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6/</w:t>
            </w:r>
            <w:r w:rsidRPr="0024430E">
              <w:rPr>
                <w:rFonts w:ascii="標楷體" w:eastAsia="標楷體" w:hAnsi="標楷體"/>
                <w:b/>
                <w:sz w:val="26"/>
                <w:szCs w:val="26"/>
              </w:rPr>
              <w:t>28~30</w:t>
            </w:r>
          </w:p>
        </w:tc>
      </w:tr>
      <w:tr w:rsidR="00E22FF4" w:rsidRPr="0024430E" w:rsidTr="0024430E">
        <w:trPr>
          <w:trHeight w:val="1967"/>
        </w:trPr>
        <w:tc>
          <w:tcPr>
            <w:tcW w:w="1292" w:type="dxa"/>
          </w:tcPr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  <w:p w:rsidR="006B7066" w:rsidRPr="0024430E" w:rsidRDefault="006B7066" w:rsidP="006B7066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國文課本</w:t>
            </w:r>
          </w:p>
        </w:tc>
        <w:tc>
          <w:tcPr>
            <w:tcW w:w="2977" w:type="dxa"/>
          </w:tcPr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L1現代詩選</w:t>
            </w:r>
          </w:p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L2唐宋詩選</w:t>
            </w:r>
          </w:p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L4大同與小康</w:t>
            </w:r>
          </w:p>
        </w:tc>
        <w:tc>
          <w:tcPr>
            <w:tcW w:w="3121" w:type="dxa"/>
          </w:tcPr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L3第九味</w:t>
            </w:r>
          </w:p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L5詞選</w:t>
            </w:r>
          </w:p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L6臺灣古典詩文選</w:t>
            </w:r>
          </w:p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 xml:space="preserve">L7戰士，乾杯！ </w:t>
            </w:r>
          </w:p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L8七日讀</w:t>
            </w:r>
          </w:p>
        </w:tc>
        <w:tc>
          <w:tcPr>
            <w:tcW w:w="3070" w:type="dxa"/>
          </w:tcPr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L9諫逐客書</w:t>
            </w:r>
          </w:p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L10愛與死與IG網紅</w:t>
            </w:r>
          </w:p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L11威尼斯商人</w:t>
            </w:r>
          </w:p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 xml:space="preserve">L12墨韓選讀 </w:t>
            </w:r>
          </w:p>
        </w:tc>
      </w:tr>
      <w:tr w:rsidR="00E22FF4" w:rsidRPr="0024430E" w:rsidTr="0024430E">
        <w:trPr>
          <w:trHeight w:val="1981"/>
        </w:trPr>
        <w:tc>
          <w:tcPr>
            <w:tcW w:w="1292" w:type="dxa"/>
          </w:tcPr>
          <w:p w:rsidR="006B7066" w:rsidRPr="0024430E" w:rsidRDefault="006B7066" w:rsidP="006B7066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默書範圍</w:t>
            </w:r>
          </w:p>
        </w:tc>
        <w:tc>
          <w:tcPr>
            <w:tcW w:w="2977" w:type="dxa"/>
          </w:tcPr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  <w:r w:rsidRPr="0024430E">
              <w:rPr>
                <w:rFonts w:ascii="標楷體" w:eastAsia="標楷體" w:hAnsi="標楷體" w:hint="eastAsia"/>
                <w:szCs w:val="24"/>
              </w:rPr>
              <w:t>L2唐宋詩選：寄黃幾復</w:t>
            </w:r>
          </w:p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  <w:r w:rsidRPr="0024430E">
              <w:rPr>
                <w:rFonts w:ascii="標楷體" w:eastAsia="標楷體" w:hAnsi="標楷體" w:hint="eastAsia"/>
                <w:szCs w:val="24"/>
              </w:rPr>
              <w:t>補</w:t>
            </w:r>
            <w:r w:rsidRPr="0024430E">
              <w:rPr>
                <w:rFonts w:ascii="標楷體" w:eastAsia="標楷體" w:hAnsi="標楷體"/>
                <w:szCs w:val="24"/>
              </w:rPr>
              <w:t>教</w:t>
            </w:r>
            <w:r w:rsidRPr="0024430E">
              <w:rPr>
                <w:rFonts w:ascii="標楷體" w:eastAsia="標楷體" w:hAnsi="標楷體" w:hint="eastAsia"/>
                <w:szCs w:val="24"/>
              </w:rPr>
              <w:t>L2：黃鶴樓、無題</w:t>
            </w:r>
          </w:p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  <w:r w:rsidRPr="0024430E">
              <w:rPr>
                <w:rFonts w:ascii="標楷體" w:eastAsia="標楷體" w:hAnsi="標楷體" w:hint="eastAsia"/>
                <w:szCs w:val="24"/>
              </w:rPr>
              <w:t>L4大同與</w:t>
            </w:r>
            <w:r w:rsidRPr="0024430E">
              <w:rPr>
                <w:rFonts w:ascii="標楷體" w:eastAsia="標楷體" w:hAnsi="標楷體"/>
                <w:szCs w:val="24"/>
              </w:rPr>
              <w:t>小康：</w:t>
            </w:r>
            <w:r w:rsidRPr="0024430E">
              <w:rPr>
                <w:rFonts w:ascii="標楷體" w:eastAsia="標楷體" w:hAnsi="標楷體" w:hint="eastAsia"/>
                <w:szCs w:val="24"/>
              </w:rPr>
              <w:t>第二段全</w:t>
            </w:r>
          </w:p>
        </w:tc>
        <w:tc>
          <w:tcPr>
            <w:tcW w:w="3121" w:type="dxa"/>
          </w:tcPr>
          <w:p w:rsidR="00E22FF4" w:rsidRPr="0024430E" w:rsidRDefault="00842E85" w:rsidP="006B7066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  <w:r w:rsidRPr="0024430E">
              <w:rPr>
                <w:rFonts w:ascii="標楷體" w:eastAsia="標楷體" w:hAnsi="標楷體" w:hint="eastAsia"/>
                <w:szCs w:val="24"/>
              </w:rPr>
              <w:t>L5詞選：</w:t>
            </w:r>
            <w:r w:rsidR="00E22FF4" w:rsidRPr="0024430E">
              <w:rPr>
                <w:rFonts w:ascii="標楷體" w:eastAsia="標楷體" w:hAnsi="標楷體" w:hint="eastAsia"/>
                <w:szCs w:val="24"/>
              </w:rPr>
              <w:t>浪淘沙</w:t>
            </w:r>
            <w:r w:rsidRPr="0024430E">
              <w:rPr>
                <w:rFonts w:ascii="標楷體" w:eastAsia="標楷體" w:hAnsi="標楷體" w:hint="eastAsia"/>
                <w:szCs w:val="24"/>
              </w:rPr>
              <w:t>、</w:t>
            </w:r>
            <w:r w:rsidR="00E22FF4" w:rsidRPr="0024430E">
              <w:rPr>
                <w:rFonts w:ascii="標楷體" w:eastAsia="標楷體" w:hAnsi="標楷體" w:hint="eastAsia"/>
                <w:szCs w:val="24"/>
              </w:rPr>
              <w:t>破陣子</w:t>
            </w:r>
          </w:p>
          <w:p w:rsidR="00E22FF4" w:rsidRPr="0024430E" w:rsidRDefault="00842E85" w:rsidP="006B7066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  <w:r w:rsidRPr="0024430E">
              <w:rPr>
                <w:rFonts w:ascii="標楷體" w:eastAsia="標楷體" w:hAnsi="標楷體" w:hint="eastAsia"/>
                <w:szCs w:val="24"/>
              </w:rPr>
              <w:t>補教L4詞選：念奴嬌</w:t>
            </w:r>
          </w:p>
        </w:tc>
        <w:tc>
          <w:tcPr>
            <w:tcW w:w="3070" w:type="dxa"/>
          </w:tcPr>
          <w:p w:rsidR="001969BC" w:rsidRPr="0024430E" w:rsidRDefault="001969BC" w:rsidP="006B7066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  <w:r w:rsidRPr="0024430E">
              <w:rPr>
                <w:rFonts w:ascii="標楷體" w:eastAsia="標楷體" w:hAnsi="標楷體" w:hint="eastAsia"/>
                <w:szCs w:val="24"/>
              </w:rPr>
              <w:t>L9諫逐客書：第四段全</w:t>
            </w:r>
          </w:p>
          <w:p w:rsidR="001969BC" w:rsidRPr="0024430E" w:rsidRDefault="001969BC" w:rsidP="006B7066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  <w:r w:rsidRPr="0024430E">
              <w:rPr>
                <w:rFonts w:ascii="標楷體" w:eastAsia="標楷體" w:hAnsi="標楷體" w:hint="eastAsia"/>
                <w:szCs w:val="24"/>
              </w:rPr>
              <w:t>補教L7典論論文：</w:t>
            </w:r>
          </w:p>
          <w:p w:rsidR="00E22FF4" w:rsidRPr="0024430E" w:rsidRDefault="001969BC" w:rsidP="006B7066">
            <w:pPr>
              <w:spacing w:line="480" w:lineRule="exact"/>
              <w:rPr>
                <w:rFonts w:ascii="標楷體" w:eastAsia="標楷體" w:hAnsi="標楷體"/>
                <w:szCs w:val="24"/>
              </w:rPr>
            </w:pPr>
            <w:r w:rsidRPr="0024430E">
              <w:rPr>
                <w:rFonts w:ascii="標楷體" w:eastAsia="標楷體" w:hAnsi="標楷體" w:hint="eastAsia"/>
                <w:szCs w:val="24"/>
              </w:rPr>
              <w:t>第五段「蓋文章</w:t>
            </w:r>
            <w:r w:rsidRPr="0024430E">
              <w:rPr>
                <w:rFonts w:ascii="MS Gothic" w:eastAsia="MS Gothic" w:hAnsi="MS Gothic" w:cs="MS Gothic" w:hint="eastAsia"/>
                <w:szCs w:val="24"/>
              </w:rPr>
              <w:t>⋯⋯</w:t>
            </w:r>
            <w:r w:rsidRPr="0024430E">
              <w:rPr>
                <w:rFonts w:ascii="標楷體" w:eastAsia="標楷體" w:hAnsi="標楷體" w:hint="eastAsia"/>
                <w:szCs w:val="24"/>
              </w:rPr>
              <w:t>而遺千載之功」</w:t>
            </w:r>
          </w:p>
        </w:tc>
      </w:tr>
      <w:tr w:rsidR="00E22FF4" w:rsidRPr="0024430E" w:rsidTr="00C454FB">
        <w:trPr>
          <w:trHeight w:val="675"/>
        </w:trPr>
        <w:tc>
          <w:tcPr>
            <w:tcW w:w="1292" w:type="dxa"/>
          </w:tcPr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補充教材</w:t>
            </w:r>
          </w:p>
        </w:tc>
        <w:tc>
          <w:tcPr>
            <w:tcW w:w="2977" w:type="dxa"/>
          </w:tcPr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L2唐宋詩選</w:t>
            </w:r>
          </w:p>
        </w:tc>
        <w:tc>
          <w:tcPr>
            <w:tcW w:w="3121" w:type="dxa"/>
          </w:tcPr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L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4</w:t>
            </w: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詞選</w:t>
            </w:r>
          </w:p>
        </w:tc>
        <w:tc>
          <w:tcPr>
            <w:tcW w:w="3070" w:type="dxa"/>
          </w:tcPr>
          <w:p w:rsidR="00E22FF4" w:rsidRPr="0024430E" w:rsidRDefault="00E22FF4" w:rsidP="006B7066">
            <w:pPr>
              <w:spacing w:line="48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L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7</w:t>
            </w: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典論論文</w:t>
            </w:r>
          </w:p>
        </w:tc>
      </w:tr>
      <w:tr w:rsidR="00E22FF4" w:rsidRPr="0024430E" w:rsidTr="0024430E">
        <w:trPr>
          <w:trHeight w:val="409"/>
        </w:trPr>
        <w:tc>
          <w:tcPr>
            <w:tcW w:w="1292" w:type="dxa"/>
            <w:tcBorders>
              <w:bottom w:val="nil"/>
            </w:tcBorders>
          </w:tcPr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  <w:p w:rsidR="00E22FF4" w:rsidRPr="0024430E" w:rsidRDefault="00E22FF4" w:rsidP="006B7066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搶救國文大作戰</w:t>
            </w:r>
          </w:p>
        </w:tc>
        <w:tc>
          <w:tcPr>
            <w:tcW w:w="2977" w:type="dxa"/>
            <w:tcBorders>
              <w:bottom w:val="nil"/>
            </w:tcBorders>
          </w:tcPr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/>
                <w:sz w:val="26"/>
                <w:szCs w:val="26"/>
              </w:rPr>
              <w:t>P13-22</w:t>
            </w:r>
          </w:p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字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形</w:t>
            </w: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辨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識</w:t>
            </w:r>
          </w:p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</w:p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/>
                <w:sz w:val="26"/>
                <w:szCs w:val="26"/>
              </w:rPr>
              <w:t>P216-217</w:t>
            </w:r>
          </w:p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文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學</w:t>
            </w: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體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裁：</w:t>
            </w: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近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體詩</w:t>
            </w:r>
          </w:p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</w:p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/>
                <w:sz w:val="26"/>
                <w:szCs w:val="26"/>
              </w:rPr>
              <w:t>P235-239</w:t>
            </w:r>
          </w:p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近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體詩</w:t>
            </w: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的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演變</w:t>
            </w: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與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流派</w:t>
            </w: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~唐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詩宋詞區別</w:t>
            </w:r>
          </w:p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</w:p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/>
                <w:sz w:val="26"/>
                <w:szCs w:val="26"/>
              </w:rPr>
              <w:t>P246-247</w:t>
            </w:r>
          </w:p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光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復後台灣新</w:t>
            </w: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詩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的發</w:t>
            </w: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展</w:t>
            </w:r>
            <w:r w:rsidR="00FF7566">
              <w:rPr>
                <w:rFonts w:ascii="標楷體" w:eastAsia="標楷體" w:hAnsi="標楷體" w:hint="eastAsia"/>
                <w:sz w:val="26"/>
                <w:szCs w:val="26"/>
              </w:rPr>
              <w:t>、現代詩流變</w:t>
            </w:r>
          </w:p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</w:p>
          <w:p w:rsidR="00B274CF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/>
                <w:sz w:val="26"/>
                <w:szCs w:val="26"/>
              </w:rPr>
              <w:t>P253</w:t>
            </w:r>
          </w:p>
          <w:p w:rsidR="00E22FF4" w:rsidRPr="0024430E" w:rsidRDefault="00B274CF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bookmarkStart w:id="0" w:name="_GoBack"/>
            <w:bookmarkEnd w:id="0"/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儀禮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、</w:t>
            </w: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周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禮</w:t>
            </w: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禮</w:t>
            </w: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記</w:t>
            </w:r>
          </w:p>
        </w:tc>
        <w:tc>
          <w:tcPr>
            <w:tcW w:w="3121" w:type="dxa"/>
            <w:tcBorders>
              <w:bottom w:val="nil"/>
            </w:tcBorders>
          </w:tcPr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/>
                <w:sz w:val="26"/>
                <w:szCs w:val="26"/>
              </w:rPr>
              <w:t>P23-35</w:t>
            </w:r>
          </w:p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字形、字音辨識</w:t>
            </w:r>
          </w:p>
          <w:p w:rsidR="00842E85" w:rsidRPr="0024430E" w:rsidRDefault="00842E85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</w:p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/>
                <w:sz w:val="26"/>
                <w:szCs w:val="26"/>
              </w:rPr>
              <w:t>P.217</w:t>
            </w:r>
          </w:p>
          <w:p w:rsidR="00842E85" w:rsidRPr="0024430E" w:rsidRDefault="00842E85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文學體裁：詞</w:t>
            </w:r>
          </w:p>
          <w:p w:rsidR="00842E85" w:rsidRPr="0024430E" w:rsidRDefault="00842E85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</w:p>
          <w:p w:rsidR="00842E85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/>
                <w:sz w:val="26"/>
                <w:szCs w:val="26"/>
              </w:rPr>
              <w:t>P.239-243</w:t>
            </w:r>
          </w:p>
          <w:p w:rsidR="00E22FF4" w:rsidRPr="0024430E" w:rsidRDefault="00842E85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詞的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演變</w:t>
            </w: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與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流派</w:t>
            </w:r>
          </w:p>
        </w:tc>
        <w:tc>
          <w:tcPr>
            <w:tcW w:w="3070" w:type="dxa"/>
            <w:tcBorders>
              <w:bottom w:val="nil"/>
            </w:tcBorders>
          </w:tcPr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/>
                <w:sz w:val="26"/>
                <w:szCs w:val="26"/>
              </w:rPr>
              <w:t>P36-46</w:t>
            </w:r>
          </w:p>
          <w:p w:rsidR="00E22FF4" w:rsidRPr="0024430E" w:rsidRDefault="00E22FF4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字形、字音辨識</w:t>
            </w:r>
          </w:p>
          <w:p w:rsidR="001969BC" w:rsidRPr="0024430E" w:rsidRDefault="001969BC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</w:p>
          <w:p w:rsidR="001969BC" w:rsidRPr="0024430E" w:rsidRDefault="001969BC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/>
                <w:sz w:val="26"/>
                <w:szCs w:val="26"/>
              </w:rPr>
              <w:t>P82-85</w:t>
            </w:r>
          </w:p>
          <w:p w:rsidR="001969BC" w:rsidRPr="0024430E" w:rsidRDefault="001969BC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/>
                <w:sz w:val="26"/>
                <w:szCs w:val="26"/>
              </w:rPr>
              <w:t>中國文字形體的演變</w:t>
            </w:r>
          </w:p>
          <w:p w:rsidR="001969BC" w:rsidRPr="0024430E" w:rsidRDefault="001969BC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</w:p>
          <w:p w:rsidR="001969BC" w:rsidRPr="0024430E" w:rsidRDefault="001969BC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/>
                <w:sz w:val="26"/>
                <w:szCs w:val="26"/>
              </w:rPr>
              <w:t>P219-221</w:t>
            </w:r>
          </w:p>
          <w:p w:rsidR="001969BC" w:rsidRPr="0024430E" w:rsidRDefault="001969BC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文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學</w:t>
            </w: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體</w:t>
            </w:r>
            <w:r w:rsidRPr="0024430E">
              <w:rPr>
                <w:rFonts w:ascii="標楷體" w:eastAsia="標楷體" w:hAnsi="標楷體"/>
                <w:sz w:val="26"/>
                <w:szCs w:val="26"/>
              </w:rPr>
              <w:t>裁：散文、駢文</w:t>
            </w:r>
          </w:p>
          <w:p w:rsidR="001969BC" w:rsidRPr="0024430E" w:rsidRDefault="001969BC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</w:p>
          <w:p w:rsidR="001969BC" w:rsidRPr="0024430E" w:rsidRDefault="001969BC" w:rsidP="006B7066">
            <w:pPr>
              <w:spacing w:line="400" w:lineRule="exact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1969BC" w:rsidRPr="0024430E" w:rsidTr="0024430E">
        <w:trPr>
          <w:trHeight w:val="1390"/>
        </w:trPr>
        <w:tc>
          <w:tcPr>
            <w:tcW w:w="1292" w:type="dxa"/>
            <w:tcBorders>
              <w:bottom w:val="single" w:sz="12" w:space="0" w:color="000000"/>
            </w:tcBorders>
          </w:tcPr>
          <w:p w:rsidR="001969BC" w:rsidRPr="0024430E" w:rsidRDefault="001969BC" w:rsidP="006B7066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學期成績比例</w:t>
            </w:r>
          </w:p>
        </w:tc>
        <w:tc>
          <w:tcPr>
            <w:tcW w:w="9168" w:type="dxa"/>
            <w:gridSpan w:val="3"/>
            <w:tcBorders>
              <w:bottom w:val="single" w:sz="12" w:space="0" w:color="000000"/>
            </w:tcBorders>
          </w:tcPr>
          <w:p w:rsidR="006B7066" w:rsidRPr="0024430E" w:rsidRDefault="006B7066" w:rsidP="006B7066">
            <w:pPr>
              <w:spacing w:line="480" w:lineRule="exact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1、</w:t>
            </w:r>
            <w:r w:rsidR="001969BC" w:rsidRPr="0024430E">
              <w:rPr>
                <w:rFonts w:ascii="標楷體" w:eastAsia="標楷體" w:hAnsi="標楷體" w:hint="eastAsia"/>
                <w:sz w:val="26"/>
                <w:szCs w:val="26"/>
              </w:rPr>
              <w:t>國文：期中考</w:t>
            </w:r>
            <w:r w:rsidR="001969BC"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25%</w:t>
            </w:r>
            <w:r w:rsidR="001969BC"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ab/>
            </w:r>
            <w:r w:rsidR="001969BC" w:rsidRPr="0024430E">
              <w:rPr>
                <w:rFonts w:ascii="標楷體" w:eastAsia="標楷體" w:hAnsi="標楷體" w:hint="eastAsia"/>
                <w:sz w:val="26"/>
                <w:szCs w:val="26"/>
              </w:rPr>
              <w:t>期末考</w:t>
            </w:r>
            <w:r w:rsidR="001969BC"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20%</w:t>
            </w:r>
            <w:r w:rsidR="001969BC"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ab/>
            </w:r>
            <w:r w:rsidR="001969BC" w:rsidRPr="0024430E">
              <w:rPr>
                <w:rFonts w:ascii="標楷體" w:eastAsia="標楷體" w:hAnsi="標楷體" w:hint="eastAsia"/>
                <w:sz w:val="26"/>
                <w:szCs w:val="26"/>
              </w:rPr>
              <w:t xml:space="preserve">平時成績 </w:t>
            </w:r>
            <w:r w:rsidR="001969BC"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25%</w:t>
            </w:r>
            <w:r w:rsidRPr="0024430E">
              <w:rPr>
                <w:rFonts w:ascii="標楷體" w:eastAsia="標楷體" w:hAnsi="標楷體"/>
                <w:b/>
                <w:sz w:val="26"/>
                <w:szCs w:val="26"/>
              </w:rPr>
              <w:t xml:space="preserve">   </w:t>
            </w:r>
            <w:r w:rsidRPr="0024430E">
              <w:rPr>
                <w:rFonts w:ascii="標楷體" w:eastAsia="標楷體" w:hAnsi="標楷體" w:hint="eastAsia"/>
                <w:sz w:val="26"/>
                <w:szCs w:val="26"/>
              </w:rPr>
              <w:t>作文</w:t>
            </w:r>
            <w:r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30%</w:t>
            </w:r>
          </w:p>
          <w:p w:rsidR="001969BC" w:rsidRPr="0024430E" w:rsidRDefault="006B7066" w:rsidP="006B7066">
            <w:pPr>
              <w:spacing w:line="480" w:lineRule="exact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4430E">
              <w:rPr>
                <w:rFonts w:ascii="標楷體" w:eastAsia="標楷體" w:hAnsi="標楷體"/>
                <w:sz w:val="26"/>
                <w:szCs w:val="26"/>
              </w:rPr>
              <w:t>2、</w:t>
            </w:r>
            <w:r w:rsidR="001969BC" w:rsidRPr="0024430E">
              <w:rPr>
                <w:rFonts w:ascii="標楷體" w:eastAsia="標楷體" w:hAnsi="標楷體" w:hint="eastAsia"/>
                <w:sz w:val="26"/>
                <w:szCs w:val="26"/>
              </w:rPr>
              <w:t>社一、社二語文傳</w:t>
            </w:r>
            <w:r w:rsidR="001969BC" w:rsidRPr="0024430E">
              <w:rPr>
                <w:rFonts w:ascii="標楷體" w:eastAsia="標楷體" w:hAnsi="標楷體"/>
                <w:sz w:val="26"/>
                <w:szCs w:val="26"/>
              </w:rPr>
              <w:t>播</w:t>
            </w:r>
            <w:r w:rsidR="001969BC" w:rsidRPr="0024430E">
              <w:rPr>
                <w:rFonts w:ascii="標楷體" w:eastAsia="標楷體" w:hAnsi="標楷體" w:hint="eastAsia"/>
                <w:sz w:val="26"/>
                <w:szCs w:val="26"/>
              </w:rPr>
              <w:t>：定期考試(國文期中、期末考)</w:t>
            </w:r>
            <w:r w:rsidR="001969BC"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40％</w:t>
            </w:r>
            <w:r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 xml:space="preserve">  </w:t>
            </w:r>
            <w:r w:rsidR="001969BC" w:rsidRPr="0024430E">
              <w:rPr>
                <w:rFonts w:ascii="標楷體" w:eastAsia="標楷體" w:hAnsi="標楷體" w:hint="eastAsia"/>
                <w:sz w:val="26"/>
                <w:szCs w:val="26"/>
              </w:rPr>
              <w:t xml:space="preserve">平時成績 </w:t>
            </w:r>
            <w:r w:rsidR="001969BC" w:rsidRPr="0024430E">
              <w:rPr>
                <w:rFonts w:ascii="標楷體" w:eastAsia="標楷體" w:hAnsi="標楷體" w:hint="eastAsia"/>
                <w:b/>
                <w:sz w:val="26"/>
                <w:szCs w:val="26"/>
              </w:rPr>
              <w:t>60％</w:t>
            </w:r>
          </w:p>
        </w:tc>
      </w:tr>
    </w:tbl>
    <w:p w:rsidR="007278E0" w:rsidRPr="00EA2846" w:rsidRDefault="007278E0" w:rsidP="006B7066">
      <w:pPr>
        <w:spacing w:line="480" w:lineRule="exact"/>
      </w:pPr>
    </w:p>
    <w:sectPr w:rsidR="007278E0" w:rsidRPr="00EA2846" w:rsidSect="00EA2846">
      <w:pgSz w:w="11910" w:h="16840"/>
      <w:pgMar w:top="760" w:right="7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8A5"/>
    <w:multiLevelType w:val="hybridMultilevel"/>
    <w:tmpl w:val="C6C04DA8"/>
    <w:lvl w:ilvl="0" w:tplc="AD8415BA">
      <w:start w:val="1"/>
      <w:numFmt w:val="decimal"/>
      <w:lvlText w:val="%1."/>
      <w:lvlJc w:val="left"/>
      <w:pPr>
        <w:ind w:left="291" w:hanging="240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CA98DA76">
      <w:numFmt w:val="bullet"/>
      <w:lvlText w:val="•"/>
      <w:lvlJc w:val="left"/>
      <w:pPr>
        <w:ind w:left="878" w:hanging="240"/>
      </w:pPr>
      <w:rPr>
        <w:rFonts w:hint="default"/>
        <w:lang w:val="en-US" w:eastAsia="zh-TW" w:bidi="ar-SA"/>
      </w:rPr>
    </w:lvl>
    <w:lvl w:ilvl="2" w:tplc="67E06E48">
      <w:numFmt w:val="bullet"/>
      <w:lvlText w:val="•"/>
      <w:lvlJc w:val="left"/>
      <w:pPr>
        <w:ind w:left="1456" w:hanging="240"/>
      </w:pPr>
      <w:rPr>
        <w:rFonts w:hint="default"/>
        <w:lang w:val="en-US" w:eastAsia="zh-TW" w:bidi="ar-SA"/>
      </w:rPr>
    </w:lvl>
    <w:lvl w:ilvl="3" w:tplc="4B6E3A26">
      <w:numFmt w:val="bullet"/>
      <w:lvlText w:val="•"/>
      <w:lvlJc w:val="left"/>
      <w:pPr>
        <w:ind w:left="2034" w:hanging="240"/>
      </w:pPr>
      <w:rPr>
        <w:rFonts w:hint="default"/>
        <w:lang w:val="en-US" w:eastAsia="zh-TW" w:bidi="ar-SA"/>
      </w:rPr>
    </w:lvl>
    <w:lvl w:ilvl="4" w:tplc="238C0D8C">
      <w:numFmt w:val="bullet"/>
      <w:lvlText w:val="•"/>
      <w:lvlJc w:val="left"/>
      <w:pPr>
        <w:ind w:left="2613" w:hanging="240"/>
      </w:pPr>
      <w:rPr>
        <w:rFonts w:hint="default"/>
        <w:lang w:val="en-US" w:eastAsia="zh-TW" w:bidi="ar-SA"/>
      </w:rPr>
    </w:lvl>
    <w:lvl w:ilvl="5" w:tplc="03D68686">
      <w:numFmt w:val="bullet"/>
      <w:lvlText w:val="•"/>
      <w:lvlJc w:val="left"/>
      <w:pPr>
        <w:ind w:left="3191" w:hanging="240"/>
      </w:pPr>
      <w:rPr>
        <w:rFonts w:hint="default"/>
        <w:lang w:val="en-US" w:eastAsia="zh-TW" w:bidi="ar-SA"/>
      </w:rPr>
    </w:lvl>
    <w:lvl w:ilvl="6" w:tplc="4D12FF48">
      <w:numFmt w:val="bullet"/>
      <w:lvlText w:val="•"/>
      <w:lvlJc w:val="left"/>
      <w:pPr>
        <w:ind w:left="3769" w:hanging="240"/>
      </w:pPr>
      <w:rPr>
        <w:rFonts w:hint="default"/>
        <w:lang w:val="en-US" w:eastAsia="zh-TW" w:bidi="ar-SA"/>
      </w:rPr>
    </w:lvl>
    <w:lvl w:ilvl="7" w:tplc="34D2A86A">
      <w:numFmt w:val="bullet"/>
      <w:lvlText w:val="•"/>
      <w:lvlJc w:val="left"/>
      <w:pPr>
        <w:ind w:left="4348" w:hanging="240"/>
      </w:pPr>
      <w:rPr>
        <w:rFonts w:hint="default"/>
        <w:lang w:val="en-US" w:eastAsia="zh-TW" w:bidi="ar-SA"/>
      </w:rPr>
    </w:lvl>
    <w:lvl w:ilvl="8" w:tplc="6394832E">
      <w:numFmt w:val="bullet"/>
      <w:lvlText w:val="•"/>
      <w:lvlJc w:val="left"/>
      <w:pPr>
        <w:ind w:left="4926" w:hanging="240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46"/>
    <w:rsid w:val="001969BC"/>
    <w:rsid w:val="0024430E"/>
    <w:rsid w:val="006B7066"/>
    <w:rsid w:val="007278E0"/>
    <w:rsid w:val="00842E85"/>
    <w:rsid w:val="008D3605"/>
    <w:rsid w:val="00A21AEB"/>
    <w:rsid w:val="00AA035F"/>
    <w:rsid w:val="00B274CF"/>
    <w:rsid w:val="00C454FB"/>
    <w:rsid w:val="00E22FF4"/>
    <w:rsid w:val="00EA2846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CB04"/>
  <w15:chartTrackingRefBased/>
  <w15:docId w15:val="{8B1EA9B1-E392-485E-9074-501178CE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A2846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A2846"/>
    <w:pPr>
      <w:autoSpaceDE w:val="0"/>
      <w:autoSpaceDN w:val="0"/>
    </w:pPr>
    <w:rPr>
      <w:rFonts w:ascii="Yu Gothic UI" w:eastAsia="Yu Gothic UI" w:hAnsi="Yu Gothic UI" w:cs="Yu Gothic UI"/>
      <w:b/>
      <w:bCs/>
      <w:kern w:val="0"/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EA2846"/>
    <w:rPr>
      <w:rFonts w:ascii="Yu Gothic UI" w:eastAsia="Yu Gothic UI" w:hAnsi="Yu Gothic UI" w:cs="Yu Gothic UI"/>
      <w:b/>
      <w:bCs/>
      <w:kern w:val="0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A2846"/>
    <w:pPr>
      <w:autoSpaceDE w:val="0"/>
      <w:autoSpaceDN w:val="0"/>
    </w:pPr>
    <w:rPr>
      <w:rFonts w:ascii="SimSun" w:eastAsia="SimSun" w:hAnsi="SimSun" w:cs="SimSun"/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2443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4430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2023-02-10T08:20:00Z</cp:lastPrinted>
  <dcterms:created xsi:type="dcterms:W3CDTF">2023-01-05T07:00:00Z</dcterms:created>
  <dcterms:modified xsi:type="dcterms:W3CDTF">2023-02-13T03:43:00Z</dcterms:modified>
</cp:coreProperties>
</file>