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1"/>
        <w:tblW w:w="9997.0" w:type="dxa"/>
        <w:jc w:val="left"/>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998"/>
        <w:gridCol w:w="4999"/>
        <w:tblGridChange w:id="0">
          <w:tblGrid>
            <w:gridCol w:w="4998"/>
            <w:gridCol w:w="4999"/>
          </w:tblGrid>
        </w:tblGridChange>
      </w:tblGrid>
      <w:tr>
        <w:trPr>
          <w:cantSplit w:val="0"/>
          <w:tblHeader w:val="0"/>
        </w:trPr>
        <w:tc>
          <w:tcPr/>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Akshay Gupta</w:t>
            </w:r>
          </w:p>
        </w:tc>
        <w:tc>
          <w:tcPr>
            <w:shd w:fill="auto" w:val="clear"/>
          </w:tcPr>
          <w:p w:rsidR="00000000" w:rsidDel="00000000" w:rsidP="00000000" w:rsidRDefault="00000000" w:rsidRPr="00000000" w14:paraId="00000004">
            <w:pPr>
              <w:spacing w:after="0" w:line="24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 9920776948</w:t>
            </w:r>
          </w:p>
        </w:tc>
      </w:tr>
      <w:tr>
        <w:trPr>
          <w:cantSplit w:val="0"/>
          <w:tblHeader w:val="0"/>
        </w:trPr>
        <w:tc>
          <w:tcPr/>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w:t>
            </w:r>
          </w:p>
        </w:tc>
        <w:tc>
          <w:tcPr>
            <w:shd w:fill="auto" w:val="clear"/>
          </w:tcPr>
          <w:p w:rsidR="00000000" w:rsidDel="00000000" w:rsidP="00000000" w:rsidRDefault="00000000" w:rsidRPr="00000000" w14:paraId="00000006">
            <w:pPr>
              <w:spacing w:after="0" w:line="24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 akshaysgupta89@gmail.com</w:t>
            </w:r>
          </w:p>
        </w:tc>
      </w:tr>
      <w:tr>
        <w:trPr>
          <w:cantSplit w:val="0"/>
          <w:tblHeader w:val="0"/>
        </w:trPr>
        <w:tc>
          <w:tcPr/>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8">
            <w:pPr>
              <w:spacing w:after="0" w:line="240" w:lineRule="auto"/>
              <w:jc w:val="both"/>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0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My hearing disability is in no way a hindrance in my zeal to learn more and more. I am physically fit in all respect except hearing disability in both the ears by birth but my hearing level and speech is much better with Hearing Aids. My face to face hearing and conversation level is much better and about normal. But mobile is a challenged for me and I can just have short talk and discussion, However, I am much faster on mail and SMS to communicate very effectively.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 8+</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Skilled developer with practical approach to problem solving and have extensive experience in coding, Designing, Development, debugging, Testing and managing team of developers.</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Expertise in setting up the Production, UAT &amp; Development Servers (application &amp; database)</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Additional Certification: Diploma in Java Technologies of 246 Hours from NIIT.</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Core Java, Advance Java, J2EE</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Spring MVC, Spring Security, Hibernate</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 SQL, MySQL, MongoDB</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CSS, jQuery, JavaScript, Bootstrap, Parsley</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Jasper Reports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Tortoise SVN</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Apache, Wildly</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Services (Rest &amp; SOAP), EJB</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Integrations: -</w:t>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Cyberplat: Mobile &amp; DTH Recharge</w:t>
      </w:r>
    </w:p>
    <w:p w:rsidR="00000000" w:rsidDel="00000000" w:rsidP="00000000" w:rsidRDefault="00000000" w:rsidRPr="00000000" w14:paraId="000000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Mahavitran: Electricity Payment</w:t>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vHealth: Health Insurance by Atena</w:t>
      </w:r>
    </w:p>
    <w:p w:rsidR="00000000" w:rsidDel="00000000" w:rsidP="00000000" w:rsidRDefault="00000000" w:rsidRPr="00000000" w14:paraId="0000002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Reliance JIO: Mobile Recharge</w:t>
      </w:r>
    </w:p>
    <w:p w:rsidR="00000000" w:rsidDel="00000000" w:rsidP="00000000" w:rsidRDefault="00000000" w:rsidRPr="00000000" w14:paraId="000000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Netmeds: Online Pharmacy</w:t>
      </w:r>
    </w:p>
    <w:p w:rsidR="00000000" w:rsidDel="00000000" w:rsidP="00000000" w:rsidRDefault="00000000" w:rsidRPr="00000000" w14:paraId="0000002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BBPS: Bharat Bill Payment System for multiple category recharge.</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 Exposure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Maharashtra Gramin Bank and Kash Gomti Samyut Gramin Bank</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&amp; Develop the APIs </w:t>
      </w:r>
    </w:p>
    <w:p w:rsidR="00000000" w:rsidDel="00000000" w:rsidP="00000000" w:rsidRDefault="00000000" w:rsidRPr="00000000" w14:paraId="0000003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both Banking correspondent API which includes services such has Account Opening, Balance Enquiry Cash Withdrawal/Deposit, Fund Transfer &amp; Mini Statement </w:t>
      </w:r>
    </w:p>
    <w:p w:rsidR="00000000" w:rsidDel="00000000" w:rsidP="00000000" w:rsidRDefault="00000000" w:rsidRPr="00000000" w14:paraId="0000003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team of 3 members</w:t>
      </w:r>
    </w:p>
    <w:p w:rsidR="00000000" w:rsidDel="00000000" w:rsidP="00000000" w:rsidRDefault="00000000" w:rsidRPr="00000000" w14:paraId="0000003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38">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Spring MVC, Bootstrap, EJB, Hibernate, SQL Server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IRCTC</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36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CSAR is the application where the investment bankers can view the reports across different areas like shares, mutual bonds etc. In CSAR, there are different modules like User Maintenance, Exceptions, Client, Product, Salesperson, Trader and Daily Signoff. This mainly deals with investment banking application. I have worked on Daily Signoff Reporting Module and Client module.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Integration with IRCTC and implemented complete functionality from ticket booking till ticket cancellation and daily basis reconciliations reports.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Team size of 2 developers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JSON, REST Web Services, EJB, Hibernate, SQL Server</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UIDAI</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the concept of Aadhaar based authentication via AUA, KUA, eKYC services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document eSign using Aadhaar with in our ERP system.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the team of 3-4 developers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UID Support Application - used to take backup of Enrollment done on the system.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Application is also used to search the missing packets on the machine.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Application is designed in a manner to facilitate risk free enrollment and end to end data compliance as per the guidelines provided by the government of India.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Core Java, MySQL, JSON, REST, Web Services, EJB, Hibernate, SQL Server.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Vakrangee Kendra Management System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55">
      <w:pPr>
        <w:spacing w:after="0" w:line="36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an ERP kind of a project where in through single portal and mobile app (up to a level) all day in day out activities of the company business model are managed.</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primarily included the integration of new ITeS with the internal payment gateway of this ERP Project.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 / Tools: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&amp; Advanced Java, Spring MVC &amp; Security, Spring Boot, MySQL, SQL Server, MongoDB, Wildfly, Windows </w:t>
      </w:r>
      <w:r w:rsidDel="00000000" w:rsidR="00000000" w:rsidRPr="00000000">
        <w:rPr>
          <w:rtl w:val="0"/>
        </w:rPr>
      </w:r>
    </w:p>
    <w:p w:rsidR="00000000" w:rsidDel="00000000" w:rsidP="00000000" w:rsidRDefault="00000000" w:rsidRPr="00000000" w14:paraId="0000005A">
      <w:pPr>
        <w:spacing w:after="0" w:line="36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Financial Inclusion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Desktop-based application which provides banking facilities such as Account Opening, Cash Deposit-Withdrawal, NEFT, etc.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Secured authentication was implemented in this application through integration of AUA Authentication and EKYC Authentication service provided by UIDAI.</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MIS Portal for viewing transactions and enrollments reports along with provisions such as BCA Registration, Dashboards, P&amp;L Reports etc.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Stack: Core &amp; Advanced Java, Bootstrap, Validation, MySQL, SQL Server.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0000"/>
          <w:sz w:val="20"/>
          <w:szCs w:val="20"/>
          <w:u w:val="singl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23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lowerLetter"/>
      <w:lvlText w:val="%4."/>
      <w:lvlJc w:val="left"/>
      <w:pPr>
        <w:ind w:left="2880" w:hanging="360"/>
      </w:pPr>
      <w:rPr>
        <w:rFonts w:ascii="Arial" w:cs="Arial" w:eastAsia="Arial" w:hAnsi="Arial"/>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