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NARASIMHAMOORTHY MURALI</w:t>
            </w:r>
            <w:r w:rsidDel="00000000" w:rsidR="00000000" w:rsidRPr="00000000">
              <w:rPr>
                <w:rtl w:val="0"/>
              </w:rPr>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w:t>
            </w:r>
            <w:r w:rsidDel="00000000" w:rsidR="00000000" w:rsidRPr="00000000">
              <w:rPr>
                <w:rFonts w:ascii="Arial" w:cs="Arial" w:eastAsia="Arial" w:hAnsi="Arial"/>
                <w:color w:val="000000"/>
                <w:sz w:val="20"/>
                <w:szCs w:val="20"/>
                <w:rtl w:val="0"/>
              </w:rPr>
              <w:t xml:space="preserve">9080759486</w:t>
            </w:r>
            <w:r w:rsidDel="00000000" w:rsidR="00000000" w:rsidRPr="00000000">
              <w:rPr>
                <w:rtl w:val="0"/>
              </w:rPr>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BCom</w:t>
            </w:r>
          </w:p>
        </w:tc>
        <w:tc>
          <w:tcPr>
            <w:vAlign w:val="center"/>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6">
              <w:r w:rsidDel="00000000" w:rsidR="00000000" w:rsidRPr="00000000">
                <w:rPr>
                  <w:rFonts w:ascii="Arial" w:cs="Arial" w:eastAsia="Arial" w:hAnsi="Arial"/>
                  <w:color w:val="0563c1"/>
                  <w:sz w:val="20"/>
                  <w:szCs w:val="20"/>
                  <w:u w:val="single"/>
                  <w:rtl w:val="0"/>
                </w:rPr>
                <w:t xml:space="preserve">nmurali.rao@gmail.com</w:t>
              </w:r>
            </w:hyperlink>
            <w:r w:rsidDel="00000000" w:rsidR="00000000" w:rsidRPr="00000000">
              <w:rPr>
                <w:rtl w:val="0"/>
              </w:rPr>
            </w:r>
          </w:p>
        </w:tc>
      </w:tr>
    </w:tbl>
    <w:p w:rsidR="00000000" w:rsidDel="00000000" w:rsidP="00000000" w:rsidRDefault="00000000" w:rsidRPr="00000000" w14:paraId="00000006">
      <w:pPr>
        <w:spacing w:after="0" w:line="360" w:lineRule="auto"/>
        <w:jc w:val="center"/>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SAP FICA </w:t>
      </w:r>
    </w:p>
    <w:p w:rsidR="00000000" w:rsidDel="00000000" w:rsidP="00000000" w:rsidRDefault="00000000" w:rsidRPr="00000000" w14:paraId="00000008">
      <w:pPr>
        <w:spacing w:after="0" w:before="240" w:line="360" w:lineRule="auto"/>
        <w:rPr>
          <w:rFonts w:ascii="Arial" w:cs="Arial" w:eastAsia="Arial" w:hAnsi="Arial"/>
          <w:sz w:val="20"/>
          <w:szCs w:val="20"/>
        </w:rPr>
      </w:pPr>
      <w:r w:rsidDel="00000000" w:rsidR="00000000" w:rsidRPr="00000000">
        <w:rPr>
          <w:rFonts w:ascii="Arial" w:cs="Arial" w:eastAsia="Arial" w:hAnsi="Arial"/>
          <w:b w:val="1"/>
          <w:i w:val="1"/>
          <w:color w:val="000000"/>
          <w:sz w:val="20"/>
          <w:szCs w:val="20"/>
          <w:rtl w:val="0"/>
        </w:rPr>
        <w:t xml:space="preserve">Professional Summary</w:t>
      </w:r>
      <w:r w:rsidDel="00000000" w:rsidR="00000000" w:rsidRPr="00000000">
        <w:rPr>
          <w:rtl w:val="0"/>
        </w:rPr>
      </w:r>
    </w:p>
    <w:tbl>
      <w:tblPr>
        <w:tblStyle w:val="Table2"/>
        <w:tblW w:w="11030.0" w:type="dxa"/>
        <w:jc w:val="left"/>
        <w:tblInd w:w="-115.0" w:type="dxa"/>
        <w:tblLayout w:type="fixed"/>
        <w:tblLook w:val="0400"/>
      </w:tblPr>
      <w:tblGrid>
        <w:gridCol w:w="4588"/>
        <w:gridCol w:w="2226"/>
        <w:gridCol w:w="965"/>
        <w:gridCol w:w="969"/>
        <w:gridCol w:w="2282"/>
        <w:tblGridChange w:id="0">
          <w:tblGrid>
            <w:gridCol w:w="4588"/>
            <w:gridCol w:w="2226"/>
            <w:gridCol w:w="965"/>
            <w:gridCol w:w="969"/>
            <w:gridCol w:w="2282"/>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9">
            <w:pPr>
              <w:spacing w:after="0" w:line="36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A">
            <w:pPr>
              <w:spacing w:after="0" w:line="36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Client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B">
            <w:pPr>
              <w:spacing w:after="0" w:line="36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From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C">
            <w:pPr>
              <w:spacing w:after="0" w:line="36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D">
            <w:pPr>
              <w:spacing w:after="0" w:line="36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Project</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E">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Freelancer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0F">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Nov-2017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0">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till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1">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2">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Training, Support, etc.,</w:t>
            </w:r>
            <w:r w:rsidDel="00000000" w:rsidR="00000000" w:rsidRPr="00000000">
              <w:rPr>
                <w:rtl w:val="0"/>
              </w:rPr>
            </w:r>
          </w:p>
        </w:tc>
      </w:tr>
      <w:tr>
        <w:trPr>
          <w:cantSplit w:val="0"/>
          <w:trHeight w:val="6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3">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Lifetron Consulting Ltd., UK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4">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SIKA Zurich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5">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Oct-2016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6">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May-2017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7">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Up gradation</w:t>
            </w:r>
            <w:r w:rsidDel="00000000" w:rsidR="00000000" w:rsidRPr="00000000">
              <w:rPr>
                <w:rtl w:val="0"/>
              </w:rPr>
            </w:r>
          </w:p>
        </w:tc>
      </w:tr>
      <w:tr>
        <w:trPr>
          <w:cantSplit w:val="0"/>
          <w:trHeight w:val="6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9">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HCL Axon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A">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Feb-2016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B">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Jun-2016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C">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Support and Testing</w:t>
            </w:r>
            <w:r w:rsidDel="00000000" w:rsidR="00000000" w:rsidRPr="00000000">
              <w:rPr>
                <w:rtl w:val="0"/>
              </w:rPr>
            </w:r>
          </w:p>
        </w:tc>
      </w:tr>
      <w:tr>
        <w:trPr>
          <w:cantSplit w:val="0"/>
          <w:trHeight w:val="6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E">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British Gas (Centrica)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1F">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May-2015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0">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Jan-2016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1">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Floor Walking Support on ISU</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2">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Enorth Consulting Ltd., UK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British Gas (Centrica)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Jan-2013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Jul-2014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Testing</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Datamatics UK Ltd., UK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Everything Everywhere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Jun-2011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Sep-2011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Testing</w:t>
            </w:r>
            <w:r w:rsidDel="00000000" w:rsidR="00000000" w:rsidRPr="00000000">
              <w:rPr>
                <w:rtl w:val="0"/>
              </w:rPr>
            </w:r>
          </w:p>
        </w:tc>
      </w:tr>
      <w:tr>
        <w:trPr>
          <w:cantSplit w:val="0"/>
          <w:trHeight w:val="6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Cognizant Technology Solutions India Pvt Ltd., Bangalore (on Direct Contract)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NIKE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Jul-2010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May-2011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Support and Testing</w:t>
            </w:r>
            <w:r w:rsidDel="00000000" w:rsidR="00000000" w:rsidRPr="00000000">
              <w:rPr>
                <w:rtl w:val="0"/>
              </w:rPr>
            </w:r>
          </w:p>
        </w:tc>
      </w:tr>
      <w:tr>
        <w:trPr>
          <w:cantSplit w:val="0"/>
          <w:trHeight w:val="9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DFS Venture Singapore Pte Ltd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Feb-2010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June-2010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Testing and Support</w:t>
            </w:r>
            <w:r w:rsidDel="00000000" w:rsidR="00000000" w:rsidRPr="00000000">
              <w:rPr>
                <w:rtl w:val="0"/>
              </w:rPr>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Foxteq Services India Pvt Ltd.,  Bangalore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Foxconn Technology Group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Apr-2009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Implementation and Support</w:t>
            </w:r>
            <w:r w:rsidDel="00000000" w:rsidR="00000000" w:rsidRPr="00000000">
              <w:rPr>
                <w:rtl w:val="0"/>
              </w:rPr>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Trigem Computer Inc., Bangalore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Sep-2003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May-2006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Forecast Demand Planning</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Sembcorp Logistics India Pvt Ltd., Bangalore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Epson India Pvt Ltd.,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Jul-2002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Aug-2003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Logistics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Epson India Pvt Ltd. Bangalore.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Sep-2000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Jun-2002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MIS Activities</w:t>
            </w:r>
            <w:r w:rsidDel="00000000" w:rsidR="00000000" w:rsidRPr="00000000">
              <w:rPr>
                <w:rtl w:val="0"/>
              </w:rPr>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360" w:lineRule="auto"/>
              <w:jc w:val="cente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Hewlett Packard India Pvt Ltd., (through MK Manohar &amp; 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C">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Apr-2000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D">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Jul-2000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E">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Branch Accountant</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4F">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Lakshmi Mills Company Ltd.,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50">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51">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Jul-1996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52">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Mar-2000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53">
            <w:pPr>
              <w:spacing w:after="0" w:line="36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Accounts</w:t>
            </w:r>
            <w:r w:rsidDel="00000000" w:rsidR="00000000" w:rsidRPr="00000000">
              <w:rPr>
                <w:rtl w:val="0"/>
              </w:rPr>
            </w:r>
          </w:p>
        </w:tc>
      </w:tr>
    </w:tbl>
    <w:p w:rsidR="00000000" w:rsidDel="00000000" w:rsidP="00000000" w:rsidRDefault="00000000" w:rsidRPr="00000000" w14:paraId="00000054">
      <w:pPr>
        <w:spacing w:after="0" w:before="240" w:line="360" w:lineRule="auto"/>
        <w:rPr>
          <w:rFonts w:ascii="Arial" w:cs="Arial" w:eastAsia="Arial" w:hAnsi="Arial"/>
          <w:sz w:val="20"/>
          <w:szCs w:val="20"/>
        </w:rPr>
      </w:pPr>
      <w:r w:rsidDel="00000000" w:rsidR="00000000" w:rsidRPr="00000000">
        <w:rPr>
          <w:rFonts w:ascii="Arial" w:cs="Arial" w:eastAsia="Arial" w:hAnsi="Arial"/>
          <w:b w:val="1"/>
          <w:i w:val="1"/>
          <w:color w:val="000000"/>
          <w:sz w:val="20"/>
          <w:szCs w:val="20"/>
          <w:rtl w:val="0"/>
        </w:rPr>
        <w:t xml:space="preserve">SAP Skills</w:t>
      </w:r>
      <w:r w:rsidDel="00000000" w:rsidR="00000000" w:rsidRPr="00000000">
        <w:rPr>
          <w:rtl w:val="0"/>
        </w:rPr>
      </w:r>
    </w:p>
    <w:p w:rsidR="00000000" w:rsidDel="00000000" w:rsidP="00000000" w:rsidRDefault="00000000" w:rsidRPr="00000000" w14:paraId="00000055">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56">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Interacted with Business users on requirement gathering and analysis of existing application system / Business Process and mapping with SAP Application and presented through Business blue Print document and writing Functional specification documents / design document – AS-IS and TO-BE Process.</w:t>
      </w:r>
    </w:p>
    <w:p w:rsidR="00000000" w:rsidDel="00000000" w:rsidP="00000000" w:rsidRDefault="00000000" w:rsidRPr="00000000" w14:paraId="00000057">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Worked on SAP MM Topics like Organization Structure, Master data like Material Master, Source list, Info record, etc., Automatic Account determination, Release strategy, Pricing / Tax (CIN) procedure , Procurement process, Batch management, PR, PO, Procurement process, Special Stocks – Sub-Contracting, Stock Transport Order, Inventory Management, Invoice Verification, Integration SAP MM-FI, MM-SD and MM-CO, etc.,</w:t>
      </w:r>
    </w:p>
    <w:p w:rsidR="00000000" w:rsidDel="00000000" w:rsidP="00000000" w:rsidRDefault="00000000" w:rsidRPr="00000000" w14:paraId="00000058">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Contract Accounts payable and Receivables (FICA) – Contract Accounts, Posting and Documents, Account Assignment for Automatic Postings, GL Posting Totals, Open Item Management, Account Balance Display, Security Deposits, Payments, Cash Desk / Cash Journal, External Payment Collectors, Incoming / Outgoing Payment creation, Interest Calculation, Dunning Notices, Refunds, Installment Plans, Returns, Write-off, Transfers, Reversal, SAP FICA-GL and SAP FICA-SD Integration.</w:t>
      </w:r>
    </w:p>
    <w:p w:rsidR="00000000" w:rsidDel="00000000" w:rsidP="00000000" w:rsidRDefault="00000000" w:rsidRPr="00000000" w14:paraId="00000059">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Worked on SAP FI Headings configuration like GL, AR, AP, AA and Material Ledgers, Cash, Bank, New GL topics like Parallel Accounting, Segment Reporting, Document Splitting, etc., </w:t>
      </w:r>
    </w:p>
    <w:p w:rsidR="00000000" w:rsidDel="00000000" w:rsidP="00000000" w:rsidRDefault="00000000" w:rsidRPr="00000000" w14:paraId="0000005A">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Technologies used – SAP IS-Utilities (modules – Device Management, Billing, Invoicing and Contract Accounts Payables and Receivables (FICA) along with other applications like SAP MRS, APO, EWM, etc., Modules like MM, PP, PM-CS, PI, etc., CRM, XIOS, XOSERVE, ECOS, UNIX, etc., </w:t>
      </w:r>
    </w:p>
    <w:p w:rsidR="00000000" w:rsidDel="00000000" w:rsidP="00000000" w:rsidRDefault="00000000" w:rsidRPr="00000000" w14:paraId="0000005B">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Knowledge on Inter Company Data Exchange related topics on Smart Metering.</w:t>
      </w:r>
    </w:p>
    <w:p w:rsidR="00000000" w:rsidDel="00000000" w:rsidP="00000000" w:rsidRDefault="00000000" w:rsidRPr="00000000" w14:paraId="0000005C">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Involved in testing on Electricity and Gas Meters using devices like Comms Hub (Communication Hub), IHD (In-house Display), HHD (Hand Held Device), etc.,  which is used for Installation purpose to complete an end to end scenario in the lab with which the validation is done for the necessary test cases.  Capturing the Test Cases on all the Applications and attaching the screenshots and updating the Test Results and raise defects (if any) in the HPQC.  </w:t>
      </w:r>
    </w:p>
    <w:p w:rsidR="00000000" w:rsidDel="00000000" w:rsidP="00000000" w:rsidRDefault="00000000" w:rsidRPr="00000000" w14:paraId="0000005D">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Monitoring the Messages through PI for the Legacy systems updates and SAP IS-Utilities and troubleshooting of any failure of messages (root cause analysis).</w:t>
      </w:r>
    </w:p>
    <w:p w:rsidR="00000000" w:rsidDel="00000000" w:rsidP="00000000" w:rsidRDefault="00000000" w:rsidRPr="00000000" w14:paraId="0000005E">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Provided the Root cause analysis of the failure of Messages and suggesting the Configuration changes in the Integration Builder for different scenario’s.</w:t>
      </w:r>
    </w:p>
    <w:p w:rsidR="00000000" w:rsidDel="00000000" w:rsidP="00000000" w:rsidRDefault="00000000" w:rsidRPr="00000000" w14:paraId="0000005F">
      <w:pPr>
        <w:numPr>
          <w:ilvl w:val="0"/>
          <w:numId w:val="1"/>
        </w:numPr>
        <w:spacing w:after="0" w:line="360" w:lineRule="auto"/>
        <w:ind w:left="360" w:hanging="360"/>
        <w:jc w:val="both"/>
        <w:rPr>
          <w:color w:val="000000"/>
        </w:rPr>
      </w:pPr>
      <w:r w:rsidDel="00000000" w:rsidR="00000000" w:rsidRPr="00000000">
        <w:rPr>
          <w:rFonts w:ascii="Arial" w:cs="Arial" w:eastAsia="Arial" w:hAnsi="Arial"/>
          <w:color w:val="000000"/>
          <w:sz w:val="20"/>
          <w:szCs w:val="20"/>
          <w:rtl w:val="0"/>
        </w:rPr>
        <w:t xml:space="preserve">Preparation of Quality Project Test Plan, Test Strategy, Test Scenarios, Test cases, Conducting knowledge sharing sessions with the Offshore team reg the Project Objective, Analyzing the Test execution by the Testing Team and reporting the Results at regular intervals to the Management, involved in Defect life cycle management, publish Defect status to the Management (Client) and the Project Team, provided support on the UAT Phase, preparation of mock data’s for Test execution, always ensuring that the Core Objectives of the Project is met based on the Business Blue Print, etc., </w:t>
      </w:r>
    </w:p>
    <w:p w:rsidR="00000000" w:rsidDel="00000000" w:rsidP="00000000" w:rsidRDefault="00000000" w:rsidRPr="00000000" w14:paraId="00000060">
      <w:pPr>
        <w:numPr>
          <w:ilvl w:val="0"/>
          <w:numId w:val="2"/>
        </w:numPr>
        <w:spacing w:after="0" w:line="360" w:lineRule="auto"/>
        <w:ind w:left="397" w:hanging="360"/>
        <w:jc w:val="both"/>
        <w:rPr>
          <w:color w:val="000000"/>
        </w:rPr>
      </w:pPr>
      <w:r w:rsidDel="00000000" w:rsidR="00000000" w:rsidRPr="00000000">
        <w:rPr>
          <w:rFonts w:ascii="Arial" w:cs="Arial" w:eastAsia="Arial" w:hAnsi="Arial"/>
          <w:color w:val="000000"/>
          <w:sz w:val="20"/>
          <w:szCs w:val="20"/>
          <w:rtl w:val="0"/>
        </w:rPr>
        <w:t xml:space="preserve">Worked on all 3 Data Migration activities like Master, Transactional and Historical Data using LSMW on both SAP FI and MM Module.</w:t>
      </w:r>
    </w:p>
    <w:p w:rsidR="00000000" w:rsidDel="00000000" w:rsidP="00000000" w:rsidRDefault="00000000" w:rsidRPr="00000000" w14:paraId="00000061">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Primary Skills:</w:t>
      </w:r>
      <w:r w:rsidDel="00000000" w:rsidR="00000000" w:rsidRPr="00000000">
        <w:rPr>
          <w:rFonts w:ascii="Arial" w:cs="Arial" w:eastAsia="Arial" w:hAnsi="Arial"/>
          <w:color w:val="000000"/>
          <w:sz w:val="20"/>
          <w:szCs w:val="20"/>
          <w:rtl w:val="0"/>
        </w:rPr>
        <w:t xml:space="preserve"> SAP MM, FI and FICA (IS-Utilities)</w:t>
      </w: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Secondary Skills </w:t>
      </w:r>
      <w:r w:rsidDel="00000000" w:rsidR="00000000" w:rsidRPr="00000000">
        <w:rPr>
          <w:rFonts w:ascii="Arial" w:cs="Arial" w:eastAsia="Arial" w:hAnsi="Arial"/>
          <w:color w:val="000000"/>
          <w:sz w:val="20"/>
          <w:szCs w:val="20"/>
          <w:rtl w:val="0"/>
        </w:rPr>
        <w:t xml:space="preserve">– SD, PM, PI, IS-Utilities modules like Device Management, Billing, Invoicing, CRM, Smart Metering, etc., </w:t>
      </w:r>
      <w:r w:rsidDel="00000000" w:rsidR="00000000" w:rsidRPr="00000000">
        <w:rPr>
          <w:rtl w:val="0"/>
        </w:rPr>
      </w:r>
    </w:p>
    <w:p w:rsidR="00000000" w:rsidDel="00000000" w:rsidP="00000000" w:rsidRDefault="00000000" w:rsidRPr="00000000" w14:paraId="00000064">
      <w:pPr>
        <w:spacing w:after="0" w:line="36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Other Skills </w:t>
      </w:r>
      <w:r w:rsidDel="00000000" w:rsidR="00000000" w:rsidRPr="00000000">
        <w:rPr>
          <w:rFonts w:ascii="Arial" w:cs="Arial" w:eastAsia="Arial" w:hAnsi="Arial"/>
          <w:color w:val="000000"/>
          <w:sz w:val="20"/>
          <w:szCs w:val="20"/>
          <w:rtl w:val="0"/>
        </w:rPr>
        <w:t xml:space="preserve">– Accounts, Total Supply Chain management (Forecast Demand Planning, RMA, Export, Re-export, Warehousing, etc.,).</w:t>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bottom w:color="000000" w:space="1" w:sz="6" w:val="single"/>
      </w:pBdr>
      <w:spacing w:line="264" w:lineRule="auto"/>
      <w:rPr/>
    </w:pPr>
    <w:r w:rsidDel="00000000" w:rsidR="00000000" w:rsidRPr="00000000">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murali.rao@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