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>
        <w:t>Санкт-Петербургский политехнический университет Петра Великого</w:t>
      </w:r>
    </w:p>
    <w:p>
      <w:pPr>
        <w:spacing w:after="120" w:line="276" w:lineRule="auto"/>
        <w:jc w:val="center"/>
      </w:pPr>
      <w:r>
        <w:t>Институт компьютерных наук и кибербезопасности</w:t>
      </w:r>
    </w:p>
    <w:p>
      <w:pPr>
        <w:spacing w:after="120" w:line="276" w:lineRule="auto"/>
        <w:jc w:val="center"/>
      </w:pPr>
      <w:r>
        <w:t>Высшая школа программной инженерии</w:t>
      </w:r>
    </w:p>
    <w:p>
      <w:pPr>
        <w:spacing w:after="120" w:line="276" w:lineRule="auto"/>
      </w:pPr>
    </w:p>
    <w:p>
      <w:pPr>
        <w:spacing w:after="120" w:line="276" w:lineRule="auto"/>
      </w:pPr>
    </w:p>
    <w:p>
      <w:pPr>
        <w:spacing w:after="120" w:line="276" w:lineRule="auto"/>
      </w:pPr>
    </w:p>
    <w:p>
      <w:pPr>
        <w:spacing w:after="120" w:line="276" w:lineRule="auto"/>
      </w:pP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color w:val="1F4E79"/>
          <w:sz w:val="36"/>
        </w:rPr>
        <w:t>ОТЧЕТ</w:t>
        <w:br/>
        <w:t>ПО НАГРУЗОЧНОМУ И СТРЕСС-ТЕСТИРОВАНИЮ</w:t>
      </w:r>
    </w:p>
    <w:p>
      <w:pPr>
        <w:spacing w:after="120" w:line="276" w:lineRule="auto"/>
        <w:jc w:val="center"/>
      </w:pPr>
      <w:r>
        <w:rPr>
          <w:sz w:val="28"/>
        </w:rPr>
        <w:t>проекта Balembala / Notification System</w:t>
      </w:r>
    </w:p>
    <w:p>
      <w:pPr>
        <w:spacing w:after="120" w:line="276" w:lineRule="auto"/>
        <w:jc w:val="center"/>
      </w:pPr>
      <w:r>
        <w:t>По курсу «Архитектура программных систем»</w:t>
      </w:r>
    </w:p>
    <w:p>
      <w:pPr>
        <w:spacing w:after="120" w:line="276" w:lineRule="auto"/>
      </w:pPr>
    </w:p>
    <w:p>
      <w:pPr>
        <w:spacing w:after="120" w:line="276" w:lineRule="auto"/>
      </w:pPr>
    </w:p>
    <w:p>
      <w:pPr>
        <w:spacing w:after="120" w:line="276" w:lineRule="auto"/>
      </w:pPr>
    </w:p>
    <w:p>
      <w:pPr>
        <w:spacing w:after="120" w:line="276" w:lineRule="auto"/>
      </w:pPr>
    </w:p>
    <w:p>
      <w:pPr>
        <w:spacing w:after="120" w:line="276" w:lineRule="auto"/>
      </w:pPr>
    </w:p>
    <w:p>
      <w:pPr>
        <w:spacing w:after="120" w:line="276" w:lineRule="auto"/>
        <w:jc w:val="right"/>
      </w:pPr>
      <w:r>
        <w:t>Выполнили: команда проекта Balembala</w:t>
      </w:r>
    </w:p>
    <w:p>
      <w:pPr>
        <w:spacing w:after="120" w:line="276" w:lineRule="auto"/>
        <w:jc w:val="right"/>
      </w:pPr>
      <w:r>
        <w:t>Преподаватель: ФИО</w:t>
      </w:r>
    </w:p>
    <w:p>
      <w:pPr>
        <w:spacing w:after="120" w:line="276" w:lineRule="auto"/>
      </w:pPr>
    </w:p>
    <w:p>
      <w:pPr>
        <w:spacing w:after="120" w:line="276" w:lineRule="auto"/>
      </w:pPr>
    </w:p>
    <w:p>
      <w:pPr>
        <w:spacing w:after="120" w:line="276" w:lineRule="auto"/>
      </w:pPr>
    </w:p>
    <w:p>
      <w:pPr>
        <w:spacing w:after="120" w:line="276" w:lineRule="auto"/>
      </w:pPr>
    </w:p>
    <w:p>
      <w:pPr>
        <w:spacing w:after="120" w:line="276" w:lineRule="auto"/>
      </w:pPr>
    </w:p>
    <w:p>
      <w:pPr>
        <w:spacing w:after="120" w:line="276" w:lineRule="auto"/>
        <w:jc w:val="center"/>
      </w:pPr>
      <w:r>
        <w:t>Санкт-Петербург</w:t>
      </w:r>
    </w:p>
    <w:p>
      <w:pPr>
        <w:spacing w:after="120" w:line="276" w:lineRule="auto"/>
        <w:jc w:val="center"/>
      </w:pPr>
      <w:r>
        <w:t>2026 г.</w:t>
      </w:r>
    </w:p>
    <w:p>
      <w:pPr>
        <w:spacing w:after="120" w:line="276" w:lineRule="auto"/>
      </w:pPr>
      <w:r>
        <w:br w:type="page"/>
      </w:r>
    </w:p>
    <w:p>
      <w:pPr>
        <w:pStyle w:val="Heading1"/>
        <w:spacing w:before="200" w:after="120"/>
      </w:pPr>
      <w:r>
        <w:t>1. Цель и границы тестирования</w:t>
      </w:r>
    </w:p>
    <w:p>
      <w:pPr>
        <w:spacing w:after="120" w:line="276" w:lineRule="auto"/>
      </w:pPr>
      <w:r>
        <w:t>Цель испытаний - проверить сценарий запуска рассылки POST /api/send/{templateId} при плановой нагрузке, при нагрузке x10 и при стрессовом росте.</w:t>
      </w:r>
    </w:p>
    <w:p>
      <w:pPr>
        <w:spacing w:after="120" w:line="276" w:lineRule="auto"/>
      </w:pPr>
      <w:r>
        <w:t>Бизнес-транзакция: HTTP POST /api/send/{templateId} -&gt; проверка JWT через auth-service -&gt; передача X-User-ID через api-gateway -&gt; notifications-service -&gt; получение контактов и шаблона через contacts-templates-service -&gt; cache Redis -&gt; публикация задания в Kafka.</w:t>
      </w:r>
    </w:p>
    <w:p>
      <w:pPr>
        <w:spacing w:after="120" w:line="276" w:lineRule="auto"/>
      </w:pPr>
      <w:r>
        <w:t>Vegeta измеряет HTTP-ответ на принятие команды. Для x10 и stress sender-service был временно остановлен, чтобы не выполнять массовую реальную SMTP-рассылку; Kafka topic notifications при этом принимал задания.</w:t>
      </w:r>
    </w:p>
    <w:p>
      <w:pPr>
        <w:pStyle w:val="Heading1"/>
        <w:spacing w:before="200" w:after="120"/>
      </w:pPr>
      <w:r>
        <w:t>2. Тестовое окружение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 прогона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01.05.2026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Инструмент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Vegeta, PowerShell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Адрес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http://localhost:80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Контейнерная среда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Docker Compose, локальный стенд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Endpoint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 /api/send/{templateId}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Сервисы цепочки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api-gateway, auth-service, notifications-service, contacts-templates-service, Redis, PostgreSQL, Kafka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Load-тест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 шаблон, 1 связанный контакт, 5 минут ramp-up + 10 минут плато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Stress/x10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 шаблон, 1 связанный контакт, sender-service остановлен на время прогона</w:t>
            </w:r>
          </w:p>
        </w:tc>
      </w:tr>
    </w:tbl>
    <w:p>
      <w:pPr>
        <w:spacing w:after="120" w:line="276" w:lineRule="auto"/>
      </w:pPr>
    </w:p>
    <w:p>
      <w:pPr>
        <w:pStyle w:val="Heading1"/>
        <w:spacing w:before="200" w:after="120"/>
      </w:pPr>
      <w:r>
        <w:t>3. Нагрузочный план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7"/>
        <w:gridCol w:w="2507"/>
        <w:gridCol w:w="2507"/>
        <w:gridCol w:w="2507"/>
      </w:tblGrid>
      <w:tr>
        <w:tc>
          <w:tcPr>
            <w:tcW w:type="dxa" w:w="215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Сценарий</w:t>
            </w:r>
          </w:p>
        </w:tc>
        <w:tc>
          <w:tcPr>
            <w:tcW w:type="dxa" w:w="204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Нагрузка</w:t>
            </w:r>
          </w:p>
        </w:tc>
        <w:tc>
          <w:tcPr>
            <w:tcW w:type="dxa" w:w="294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Длительность и рост</w:t>
            </w:r>
          </w:p>
        </w:tc>
        <w:tc>
          <w:tcPr>
            <w:tcW w:type="dxa" w:w="215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Критерий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Нагрузочные испытания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1/s -&gt; 10/s, затем 10/s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 минут плавный ramp-up, затем 10 минут плато; всего 15 минут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Ошибки &lt;= 10%, p95 API &lt;= 300 мс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Нагрузка x10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100/s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30 секунд контрольного x10-прогона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Ошибки &lt;= 10%, p95 API &lt;= 300 мс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Stress-тестирование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10/s -&gt; 200/s, затем +10%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 минут ramp-up; далее +10% каждые 10 секунд до превышения порога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Порог отказа: ошибки &gt; 25%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t>Команда полного 15-минутного прогона выполнялась сегментами Vegeta: 10 ступеней ramp-up по 30 секунд и отдельный plateau-сегмент 10 минут. Итоговый отчет считался по всем сегментам вместе.</w:t>
      </w:r>
    </w:p>
    <w:p>
      <w:pPr>
        <w:spacing w:after="120" w:line="276" w:lineRule="auto"/>
      </w:pPr>
      <w:r>
        <w:rPr>
          <w:rFonts w:ascii="Consolas" w:hAnsi="Consolas" w:eastAsia="Consolas"/>
          <w:sz w:val="19"/>
        </w:rPr>
        <w:t>.\vegeta.exe report reports\load15_*.bin</w:t>
      </w:r>
    </w:p>
    <w:p>
      <w:pPr>
        <w:pStyle w:val="Heading1"/>
        <w:spacing w:before="200" w:after="120"/>
      </w:pPr>
      <w:r>
        <w:t>4. Нагрузочные испытания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c>
          <w:tcPr>
            <w:tcW w:type="dxa" w:w="345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56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Профиль нагрузки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 минут ramp-up 1/s -&gt; 10/s; 10 минут плато 10/s</w:t>
            </w:r>
          </w:p>
        </w:tc>
      </w:tr>
      <w:tr>
        <w:tc>
          <w:tcPr>
            <w:tcW w:type="dxa" w:w="3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Фактическая длительность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 мин 59 сек</w:t>
            </w:r>
          </w:p>
        </w:tc>
      </w:tr>
      <w:tr>
        <w:tc>
          <w:tcPr>
            <w:tcW w:type="dxa" w:w="3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Всего запросов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7650</w:t>
            </w:r>
          </w:p>
        </w:tc>
      </w:tr>
      <w:tr>
        <w:tc>
          <w:tcPr>
            <w:tcW w:type="dxa" w:w="3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Средняя частота с учетом ramp-up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8,51 req/s</w:t>
            </w:r>
          </w:p>
        </w:tc>
      </w:tr>
      <w:tr>
        <w:tc>
          <w:tcPr>
            <w:tcW w:type="dxa" w:w="3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Успешность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100,00%</w:t>
            </w:r>
          </w:p>
        </w:tc>
      </w:tr>
      <w:tr>
        <w:tc>
          <w:tcPr>
            <w:tcW w:type="dxa" w:w="3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Коды ответа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200: 7650</w:t>
            </w:r>
          </w:p>
        </w:tc>
      </w:tr>
      <w:tr>
        <w:tc>
          <w:tcPr>
            <w:tcW w:type="dxa" w:w="3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Ошибки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Средняя задержка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23,427 мс</w:t>
            </w:r>
          </w:p>
        </w:tc>
      </w:tr>
      <w:tr>
        <w:tc>
          <w:tcPr>
            <w:tcW w:type="dxa" w:w="3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p50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16,277 мс</w:t>
            </w:r>
          </w:p>
        </w:tc>
      </w:tr>
      <w:tr>
        <w:tc>
          <w:tcPr>
            <w:tcW w:type="dxa" w:w="3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p90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25,364 мс</w:t>
            </w:r>
          </w:p>
        </w:tc>
      </w:tr>
      <w:tr>
        <w:tc>
          <w:tcPr>
            <w:tcW w:type="dxa" w:w="3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p95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29,040 мс</w:t>
            </w:r>
          </w:p>
        </w:tc>
      </w:tr>
      <w:tr>
        <w:tc>
          <w:tcPr>
            <w:tcW w:type="dxa" w:w="3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p99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43,022 мс</w:t>
            </w:r>
          </w:p>
        </w:tc>
      </w:tr>
      <w:tr>
        <w:tc>
          <w:tcPr>
            <w:tcW w:type="dxa" w:w="3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Максимальная задержка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8156,521 мс</w:t>
            </w:r>
          </w:p>
        </w:tc>
      </w:tr>
    </w:tbl>
    <w:p>
      <w:pPr>
        <w:spacing w:after="120" w:line="276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Критерий методики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Фактический результат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Статус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Минимум 15 минут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 мин 59 сек по Vegeta, 15 минут wall-clock сегментов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Плавный рост с выходом на плато спустя 5 минут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 ступеней по 30 секунд: 1/s -&gt; 10/s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Плато после ramp-up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 минут на 10 req/s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Порог ошибок не выше 10%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0% ошибок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p95 API &lt;= 300 мс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p95 = 29,040 мс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Пройдено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t>Результат: полный нагрузочный прогон по методике пройден. Все 7650 запросов завершились HTTP 200, доля ошибок составила 0%, p95 = 29,040 мс.</w:t>
      </w:r>
    </w:p>
    <w:p>
      <w:pPr>
        <w:pStyle w:val="Heading1"/>
        <w:spacing w:before="200" w:after="120"/>
      </w:pPr>
      <w:r>
        <w:t>5. Стресс-тестирование</w:t>
      </w:r>
    </w:p>
    <w:p>
      <w:pPr>
        <w:spacing w:after="120" w:line="276" w:lineRule="auto"/>
      </w:pPr>
      <w:r>
        <w:t>Stress-тест выполнялся по методике: 5 минут плавного роста до высокого уровня нагрузки, затем дополнительный рост на 10% каждые 10 секунд до превышения порога ошибок 25%.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3"/>
        <w:gridCol w:w="1433"/>
        <w:gridCol w:w="1433"/>
        <w:gridCol w:w="1433"/>
        <w:gridCol w:w="1433"/>
        <w:gridCol w:w="1433"/>
        <w:gridCol w:w="1433"/>
      </w:tblGrid>
      <w:tr>
        <w:tc>
          <w:tcPr>
            <w:tcW w:type="dxa" w:w="1247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Нагрузка</w:t>
            </w:r>
          </w:p>
        </w:tc>
        <w:tc>
          <w:tcPr>
            <w:tcW w:type="dxa" w:w="1077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Запросов</w:t>
            </w:r>
          </w:p>
        </w:tc>
        <w:tc>
          <w:tcPr>
            <w:tcW w:type="dxa" w:w="102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Успех</w:t>
            </w:r>
          </w:p>
        </w:tc>
        <w:tc>
          <w:tcPr>
            <w:tcW w:type="dxa" w:w="102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Ошибки</w:t>
            </w:r>
          </w:p>
        </w:tc>
        <w:tc>
          <w:tcPr>
            <w:tcW w:type="dxa" w:w="119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p95</w:t>
            </w:r>
          </w:p>
        </w:tc>
        <w:tc>
          <w:tcPr>
            <w:tcW w:type="dxa" w:w="215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Коды</w:t>
            </w:r>
          </w:p>
        </w:tc>
        <w:tc>
          <w:tcPr>
            <w:tcW w:type="dxa" w:w="147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Статус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 req/s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100,00%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0,00%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32,032 мс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200: 150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50 req/s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750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100,00%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0,00%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45,162 мс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200: 750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100 req/s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1500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100,00%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0,00%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107,474 мс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200: 1500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130 req/s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1950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100,00%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0,00%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258,470 мс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200: 1950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140 req/s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2100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94,57%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5,43%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4462,316 мс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0: 96, 200: 1986, 500: 18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150 req/s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2250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77,02%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22,98%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5379,926 мс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0: 313, 200: 1733, 500: 204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160 req/s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2400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54,12%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45,88%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11003,012 мс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0: 868, 200: 1299, 500: 233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Порог превышен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 req/s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3000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39,97%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60,03%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11904,170 мс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0: 1445, 200: 1199, 500: 356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Порог превышен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220 req/s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2200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38,14%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61,86%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11128,666 мс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0: 1007, 200: 839, 500: 354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Порог превышен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drawing>
          <wp:inline xmlns:a="http://schemas.openxmlformats.org/drawingml/2006/main" xmlns:pic="http://schemas.openxmlformats.org/drawingml/2006/picture">
            <wp:extent cx="59436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ss_success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jc w:val="center"/>
      </w:pPr>
      <w:r>
        <w:rPr>
          <w:i/>
          <w:sz w:val="20"/>
        </w:rPr>
        <w:t>Рисунок 1. Доля успешных ответов при stress-тестировании</w:t>
      </w:r>
    </w:p>
    <w:p>
      <w:pPr>
        <w:spacing w:after="120" w:line="276" w:lineRule="auto"/>
      </w:pPr>
      <w:r>
        <w:t>Вывод по stress-тесту: порог 25% ошибок впервые превышен между 150 и 160 req/s во время 5-минутного ramp-up. На 150 req/s ошибок 22,98%, на 160 req/s ошибок 45,88%. Дополнительный шаг +10% до 220 req/s подтвердил зону отказа: ошибок 61,86%.</w:t>
      </w:r>
    </w:p>
    <w:p>
      <w:pPr>
        <w:pStyle w:val="Heading1"/>
        <w:spacing w:before="200" w:after="120"/>
      </w:pPr>
      <w:r>
        <w:t>6. Нагрузка x10 от плановой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c>
          <w:tcPr>
            <w:tcW w:type="dxa" w:w="340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56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Плановая нагрузка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 req/s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x10 от плановой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100 req/s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Длительность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30 секунд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Всего запросов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3000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Успешность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100,00%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Коды ответа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200: 3000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Средняя задержка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7,340 мс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p95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9,001 мс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p99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13,959 мс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Максимальная задержка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149,725 мс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t>Вывод: в границе API/Kafka acceptance-сценария система выдержала x10 от плановой нагрузки: 3000 из 3000 запросов завершились HTTP 200, p95 = 9,001 мс.</w:t>
      </w:r>
    </w:p>
    <w:p>
      <w:pPr>
        <w:pStyle w:val="Heading1"/>
        <w:spacing w:before="200" w:after="120"/>
      </w:pPr>
      <w:r>
        <w:t>7. Обнаруженные ограничения и узкие места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Наблюдение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Влияние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Рекомендация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Stress-порог достигнут на 160 req/s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После этой точки ошибки превышают допустимые 25%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Разобрать устойчивость notifications-service, gateway и Kafka producer под очередью запросов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 высоких ступенях появляются HTTP 500 и EOF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Часть соединений закрывается до успешного ответа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Добавить backpressure, лимиты, метрики очередей и таймаутов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SMTP-доставка не включалась в x10/stress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Отчет подтверждает принятие команд и постановку в Kafka, но не фактические письма/мин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Для NFR-PERF-2 отдельно тестировать sender-service на mock SMTP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Локальный стенд Docker Desktop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Результаты зависят от ресурсов машины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Повторить на выделенном стенде перед финальной защитой</w:t>
            </w:r>
          </w:p>
        </w:tc>
      </w:tr>
    </w:tbl>
    <w:p>
      <w:pPr>
        <w:spacing w:after="120" w:line="276" w:lineRule="auto"/>
      </w:pPr>
    </w:p>
    <w:p>
      <w:pPr>
        <w:pStyle w:val="Heading1"/>
        <w:spacing w:before="200" w:after="120"/>
      </w:pPr>
      <w:r>
        <w:t>8. Итоговый вывод</w:t>
      </w:r>
    </w:p>
    <w:p>
      <w:pPr>
        <w:spacing w:after="120" w:line="276" w:lineRule="auto"/>
      </w:pPr>
      <w:r>
        <w:t>Полный нагрузочный прогон по методике выполнен: 5 минут плавного ramp-up, 10 минут плато, всего 15 минут. Результат успешный: 7650/7650 ответов HTTP 200, 0% ошибок, p95 = 29,040 мс.</w:t>
      </w:r>
    </w:p>
    <w:p>
      <w:pPr>
        <w:spacing w:after="120" w:line="276" w:lineRule="auto"/>
      </w:pPr>
      <w:r>
        <w:t>Нагрузка x10 от плановой также выдержана в API/Kafka acceptance-сценарии: 3000/3000 ответов HTTP 200, p95 = 9,001 мс.</w:t>
      </w:r>
    </w:p>
    <w:p>
      <w:pPr>
        <w:spacing w:after="120" w:line="276" w:lineRule="auto"/>
      </w:pPr>
      <w:r>
        <w:t>Stress-тестирование показало предел текущего прототипа: после 150 req/s система входит в зону отказа; на 160 req/s доля ошибок составляет 45,88%, что выше допустимого stress-порога 25%.</w:t>
      </w:r>
    </w:p>
    <w:sectPr w:rsidR="00FC693F" w:rsidRPr="0006063C" w:rsidSect="00034616">
      <w:footerReference w:type="default" r:id="rId10"/>
      <w:pgSz w:w="12240" w:h="15840"/>
      <w:pgMar w:top="1134" w:right="1020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Balembala / Notification System - отчет по нагрузочному и стресс-тестированию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