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360"/>
              <w:left w:type="dxa" w:w="400"/>
              <w:bottom w:type="dxa" w:w="300"/>
              <w:right w:type="dxa" w:w="4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Ultimate Macro &amp; Order Flow V6.0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A817"/>
                <w:sz w:val="27"/>
                <w:szCs w:val="27"/>
              </w:rPr>
              <w:t xml:space="preserve">CONDICIONES DE ENTRADA — FUTUROS PERPETUOS 5M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CCDDFF"/>
                <w:sz w:val="19"/>
                <w:szCs w:val="19"/>
              </w:rPr>
              <w:t xml:space="preserve">BTCUSDT  |  Binance Futuros  |  LONG + SHORT</w:t>
            </w:r>
          </w:p>
        </w:tc>
      </w:tr>
    </w:tbl>
    <w:p>
      <w:pPr>
        <w:spacing w:before="160"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6C3483" w:sz="1"/>
              <w:left w:val="thick" w:color="6C3483" w:sz="12"/>
              <w:bottom w:val="single" w:color="6C3483" w:sz="1"/>
              <w:right w:val="single" w:color="6C3483" w:sz="1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⚡  Diferencias clave respecto al Spot 1H/4H</w:t>
            </w:r>
          </w:p>
          <w:p>
            <w:pPr>
              <w:spacing w:before="8" w:after="8"/>
            </w:pPr>
            <w:r>
              <w:rPr>
                <w:rFonts w:ascii="Arial" w:cs="Arial" w:eastAsia="Arial" w:hAnsi="Arial"/>
                <w:color w:val="2C2C50"/>
                <w:sz w:val="18"/>
                <w:szCs w:val="18"/>
              </w:rPr>
              <w:t xml:space="preserve">La lógica central (LRC &lt; 25%) es la misma. </w:t>
            </w: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Lo que cambia:</w:t>
            </w:r>
            <w:r>
              <w:rPr>
                <w:rFonts w:ascii="Arial" w:cs="Arial" w:eastAsia="Arial" w:hAnsi="Arial"/>
                <w:color w:val="2C2C50"/>
                <w:sz w:val="18"/>
                <w:szCs w:val="18"/>
              </w:rPr>
              <w:t xml:space="preserve">  SL/TP más ajustados (1.5%/3.0%)  •  Puede operar en SHORT  •  Comisión maker 0.02%  •  Existe riesgo de liquidación  •  Funding rate cada 8h  •  287 trades/año vs 71–147 en Spot</w:t>
            </w:r>
          </w:p>
        </w:tc>
      </w:tr>
    </w:tbl>
    <w:p>
      <w:pPr>
        <w:spacing w:before="20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5M Futuros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A08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1H Spot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A8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4H Spot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Retorno backtesting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+26.28%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+86.09%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+65.59%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Win Rate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37.3%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50.3%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59.2%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Sharpe Ratio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1.19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4.59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7.32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Max Drawdown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-19.94%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-8.51%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-5.14%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Trades / año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287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147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71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Comisión maker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0.02% (BNB)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0.075%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0.075%</w:t>
            </w:r>
          </w:p>
        </w:tc>
      </w:tr>
    </w:tbl>
    <w:p>
      <w:pPr>
        <w:spacing w:before="28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1.  Condición Primaria Obligatoria</w:t>
      </w:r>
    </w:p>
    <w:p>
      <w:pPr>
        <w:pBdr>
          <w:bottom w:val="single" w:color="0F3460" w:sz="8" w:space="1"/>
        </w:pBdr>
        <w:spacing w:before="0" w:after="0"/>
      </w:pPr>
    </w:p>
    <w:p>
      <w:pPr>
        <w:spacing w:before="60" w:after="80"/>
      </w:pPr>
    </w:p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Idéntica a Spot. La señal de entrada parte siempre de la posición dentro del canal LRC. La dirección (LONG o SHORT) depende del contexto de mercado.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3180"/>
      </w:tblGrid>
      <w:tr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Condición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LONG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SHORT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Posición en Canal LRC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Precio relativo al Canal de Regresión Lineal (100 barras, 2σ)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lrc_pct ≤ 25 %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Zona baja del canal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lrc_pct ≥ 75 %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Zona alta del canal</w:t>
            </w:r>
          </w:p>
        </w:tc>
      </w:tr>
    </w:tbl>
    <w:p>
      <w:pPr>
        <w:spacing w:before="24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2.  Contexto de Mercado: cuándo operar LONG y cuándo SHORT</w:t>
      </w:r>
    </w:p>
    <w:p>
      <w:pPr>
        <w:pBdr>
          <w:bottom w:val="single" w:color="6C3483" w:sz="8" w:space="1"/>
        </w:pBdr>
        <w:spacing w:before="0" w:after="0"/>
      </w:pPr>
    </w:p>
    <w:p>
      <w:pPr>
        <w:spacing w:before="60" w:after="80"/>
      </w:pPr>
    </w:p>
    <w:p>
      <w:pPr>
        <w:spacing w:before="40" w:after="1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Esta es la diferencia fundamental respecto al Spot. En futuros puedes vender en corto, pero solo en el contexto adecuado. Operar en la dirección equivocada destruye la cuenta: los shorts en mercado alcista tienen WR del 7–14%.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90"/>
        <w:gridCol w:w="4490"/>
      </w:tblGrid>
      <w:tr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Dirección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Condición de Contexto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Indicadores a Verificar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⬆ LONG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Precio por encima de SMA100 en 4H (tendencia macro alcista)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BTC en estructura de mínimos y máximos crecientes (4H)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Señal: lrc_pct ≤ 25% (pullback en tendencia)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8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Close(5M) &gt; SMA100(4H)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PowerTrend activo (SMA10 &gt; SMA20 &gt; SMA100)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RSI(4H) &gt; 40 (no sobreventa extrema en macro)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⬇ SHORT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Precio por debajo de SMA100 en 4H (tendencia macro bajista)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BTC en estructura de mínimos y máximos decrecientes (4H)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Señal: lrc_pct ≥ 75% (rebote en resistencia)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8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7"/>
                <w:szCs w:val="17"/>
              </w:rPr>
              <w:t xml:space="preserve">Close(5M) &lt; SMA100(4H)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Score SHORT ≥ 6 (se exige mayor confluencia)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DXY alcista (dólar fuerte = presión sobre BTC)</w:t>
            </w:r>
          </w:p>
        </w:tc>
      </w:tr>
      <w:tr>
        <w:tc>
          <w:tcPr>
            <w:gridSpan w:val="3"/>
            <w:tcBorders>
              <w:top w:val="single" w:color="C0392B" w:sz="1"/>
              <w:left w:val="thick" w:color="C0392B" w:sz="10"/>
              <w:bottom w:val="single" w:color="C0392B" w:sz="1"/>
              <w:right w:val="single" w:color="C0392B" w:sz="1"/>
            </w:tcBorders>
            <w:shd w:fill="FF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ADVERTENCIA: </w:t>
            </w:r>
            <w:r>
              <w:rPr>
                <w:rFonts w:ascii="Arial" w:cs="Arial" w:eastAsia="Arial" w:hAnsi="Arial"/>
                <w:color w:val="8B0000"/>
                <w:sz w:val="17"/>
                <w:szCs w:val="17"/>
              </w:rPr>
              <w:t xml:space="preserve">En el backtest con mercado +82% alcista, los shorts tuvieron WR del 7–14%. Los shorts solo son válidos en mercados bajistas confirmados. Si BTC está en tendencia alcista, operar Únicamente LONG.</w:t>
            </w:r>
          </w:p>
        </w:tc>
      </w:tr>
    </w:tbl>
    <w:p>
      <w:pPr>
        <w:spacing w:before="24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3.  Condiciones de Exclusión — Bloqueos</w:t>
      </w:r>
    </w:p>
    <w:p>
      <w:pPr>
        <w:pBdr>
          <w:bottom w:val="single" w:color="C0392B" w:sz="8" w:space="1"/>
        </w:pBdr>
        <w:spacing w:before="0" w:after="0"/>
      </w:pPr>
    </w:p>
    <w:p>
      <w:pPr>
        <w:spacing w:before="60" w:after="80"/>
      </w:pPr>
    </w:p>
    <w:p>
      <w:pPr>
        <w:spacing w:before="40" w:after="1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Si cualquiera está activa, NO se abre la operación. Los marcados con </w:t>
      </w:r>
      <w:r>
        <w:rPr>
          <w:rFonts w:ascii="Arial" w:cs="Arial" w:eastAsia="Arial" w:hAnsi="Arial"/>
          <w:b/>
          <w:bCs/>
          <w:color w:val="6C3483"/>
          <w:sz w:val="18"/>
          <w:szCs w:val="18"/>
        </w:rPr>
        <w:t xml:space="preserve">★ NUEVO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son exclusivos de futuros y no aplican en Spot.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"/>
        <w:gridCol w:w="5840"/>
        <w:gridCol w:w="3520"/>
      </w:tblGrid>
      <w:tr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Cod.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Excluir si…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Razón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E1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6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Patrón BullEngulfing activo (LONG)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Vela que cierra muy por encima de la anterior: precio ya reboTó antes del cierre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Entrada en micro-techo, no en el suelo real. WR histórico 10%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E2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6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BearEngulfing activo (SHORT)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Vela bajista que cubre completamente la anterior: precio ya cayó antes del cierre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Entrada en micro-suelo de rebote. Misma lógica que BullEng pero en corto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E3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6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Ventana de noticias macro ± 30 min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FOMC, CPI, NFP, datos empleo, anuncios Binance/SEC/ETF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Volatilidad impredecible. El SL puede ser barrido por spike antes del movimiento real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E4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6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Racha perdedora ≥ 3 consecutivos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Tres pérdidas seguidas sin ganadoras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Posible cambio de régimen. Pausa 24h, revisar contexto macro y reconfigurar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E5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6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Funding Rate &gt; +0.10% (LONG) o &lt; -0.10% (SHORT)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Tasa de financiación extremadamente positiva o negativa. Se cobra cada 8 horas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El funding come la ganancia esperada. Con 0.10% de funding y TP de 3%, necesitas WR mucho mayor para ser rentable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E6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6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Liquidación en cadena activa (Open Interest cae &gt;15% en 1h)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Bajada brusca del OI indica posiciones forzadas cerrando masivamente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El mercado está siendo manipulado por liquidaciones. Spreads se amplían y los SL son barridos sin movimiento real de precio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E7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6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Gap de apertura &gt; 1.5% respecto al cierre anterior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El precio abre muy por encima o por debajo del cierre de la vela previa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El gap ya ha consumido parte del movimiento esperado. El SL/TP se vuelve asimétrico respecto al régimen normal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E8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6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Capital disponible &lt; $100 o margen libre &lt; 20%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Cuenta próxima al mínimo operativo o al umbral de margin call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Sin margen suficiente para absorber la variación antes del SL. Riesgo de liquidación forzada</w:t>
            </w:r>
          </w:p>
        </w:tc>
      </w:tr>
      <w:tr>
        <w:tc>
          <w:tcPr>
            <w:gridSpan w:val="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E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★ NUEVO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= Exclusivo de futuros. E1, E2, E3, E4 son comunes con Spot.</w:t>
            </w:r>
          </w:p>
        </w:tc>
      </w:tr>
    </w:tbl>
    <w:p>
      <w:pPr>
        <w:spacing w:before="240"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4.  Condiciones de Confirmación (Score)</w:t>
      </w:r>
    </w:p>
    <w:p>
      <w:pPr>
        <w:pBdr>
          <w:bottom w:val="single" w:color="1B5E20" w:sz="8" w:space="1"/>
        </w:pBdr>
        <w:spacing w:before="0" w:after="0"/>
      </w:pPr>
    </w:p>
    <w:p>
      <w:pPr>
        <w:spacing w:before="60" w:after="80"/>
      </w:pP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Iguales que en Spot para LONG. Para SHORT se invierten los indicadores. Cuantas más confirmaciones, mayor calidad de señal. Para SHORT se recomienda exigir score ≥ 6 (mayor rigor que en LONG).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00"/>
        <w:gridCol w:w="4560"/>
        <w:gridCol w:w="4560"/>
      </w:tblGrid>
      <w:tr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Confirmación LONG (lrc ≤ 25%)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Confirmación SHORT (lrc ≥ 75%)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+2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C1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RSI(14) &lt; 40 en 5M (sobreventa)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RSI(14) &gt; 60 en 5M (sobrecompra)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+2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C2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Divergencia alcista RSI: precio hace mínimo menor, RSI hace mínimo mayor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Divergencia bajista RSI: precio hace máximo mayor, RSI hace máximo menor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+1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C3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Precio cerca de soporte clave (distancia ≤ 1.5%)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Precio cerca de resistencia clave (distancia ≤ 1.5%)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+1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C4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Cierre ≤ Banda Bollinger inferior BB(20, 2.0σ)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Cierre ≥ Banda Bollinger superior BB(20, 2.0σ)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+1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C5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Volumen por encima de la media de 20 barras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Volumen por encima de la media de 20 barras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+1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C6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Delta CVD positivo (compradores netos en últimas 3 barras)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Delta CVD negativo (vendedores netos en últimas 3 barras)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+1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C7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SMA10 &gt; SMA20 (tendencia corto plazo alcista en 5M)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SMA10 &lt; SMA20 (tendencia corto plazo bajista en 5M)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+1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C8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DXY bajando o lateral (macro favorable para BTC)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DXY subiendo (macro adverso, fortaleza del dólar)</w:t>
            </w:r>
          </w:p>
        </w:tc>
      </w:tr>
      <w:tr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A8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Máx 10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Score LONG mínimo recomendado: 0 (operar con sizing reducido si &lt; 2)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Score SHORT mínimo recomendado: ≥ 6 (mayor rigor)</w:t>
            </w:r>
          </w:p>
        </w:tc>
      </w:tr>
    </w:tbl>
    <w:p>
      <w:pPr>
        <w:spacing w:before="24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5.  Gestión de Riesgo y Apalancamiento</w:t>
      </w:r>
    </w:p>
    <w:p>
      <w:pPr>
        <w:pBdr>
          <w:bottom w:val="single" w:color="0F3460" w:sz="8" w:space="1"/>
        </w:pBdr>
        <w:spacing w:before="0" w:after="0"/>
      </w:pPr>
    </w:p>
    <w:p>
      <w:pPr>
        <w:spacing w:before="8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5M Futuros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A8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Referencia Spot 4H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Stop Loss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1.5% del precio de entrada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3.0% (4H)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Take Profit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3.0% del precio de entrada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6.0% (4H)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R:R objetivo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2 : 1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2 : 1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Riesgo por trade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1% del capital total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1% del capital total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Apalancamiento máximo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2x — 3x (recomendado 1x–2x)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No aplica (spot)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Apalancamiento implícito de sizing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0.67x (posición = 67% del capital)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0.33x en 4H (posición = 33%)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Máx trades / día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operaciones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1 operación (4H)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Cooldown entre trades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velas = 120 min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2 velas = 8 horas (4H)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Comisión maker (BNB)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0.02% por lado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7"/>
                <w:szCs w:val="17"/>
              </w:rPr>
              <w:t xml:space="preserve">0.075% por lado</w:t>
            </w:r>
          </w:p>
        </w:tc>
      </w:tr>
    </w:tbl>
    <w:p>
      <w:pPr>
        <w:spacing w:before="12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5"/>
          <w:szCs w:val="25"/>
        </w:rPr>
        <w:t xml:space="preserve">Fórmula de Sizing en Futuros</w:t>
      </w:r>
    </w:p>
    <w:p>
      <w:pPr>
        <w:spacing w:before="4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Fórmula (igual que Spot)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Ejemplo: BTC a $85,000 | Capital $1,000 | Apal. 2x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8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Riesgo USD = Capital × 1%</w:t>
            </w:r>
          </w:p>
          <w:p>
            <w:pPr>
              <w:spacing w:before="6" w:after="8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Distancia SL = Precio × 1.5%</w:t>
            </w:r>
          </w:p>
          <w:p>
            <w:pPr>
              <w:spacing w:before="6" w:after="8"/>
            </w:pPr>
            <w:r>
              <w:rPr>
                <w:rFonts w:ascii="Courier New" w:cs="Courier New" w:eastAsia="Courier New" w:hAnsi="Courier New"/>
                <w:b/>
                <w:bCs/>
                <w:color w:val="E6A817"/>
                <w:sz w:val="18"/>
                <w:szCs w:val="18"/>
              </w:rPr>
              <w:t xml:space="preserve">Qty BTC = Riesgo USD / Distancia SL</w:t>
            </w:r>
          </w:p>
          <w:p>
            <w:pPr>
              <w:spacing w:before="12" w:after="8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Margen requerido (1x) = Qty × Precio</w:t>
            </w:r>
          </w:p>
          <w:p>
            <w:pPr>
              <w:spacing w:before="6" w:after="3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Margen requerido (2x) = (Qty × Precio) / 2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8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Riesgo = $1,000 × 1% = $10</w:t>
            </w:r>
          </w:p>
          <w:p>
            <w:pPr>
              <w:spacing w:before="6" w:after="8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SL dist. = $85,000 × 1.5% = $1,275</w:t>
            </w:r>
          </w:p>
          <w:p>
            <w:pPr>
              <w:spacing w:before="6" w:after="8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Qty = $10 / $1,275 = 0.00784 BTC</w:t>
            </w:r>
          </w:p>
          <w:p>
            <w:pPr>
              <w:spacing w:before="12" w:after="8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Margen 1x = 0.00784 × $85,000 = $666 (67% capital)</w:t>
            </w:r>
          </w:p>
          <w:p>
            <w:pPr>
              <w:spacing w:before="6" w:after="30"/>
            </w:pPr>
            <w:r>
              <w:rPr>
                <w:rFonts w:ascii="Arial" w:cs="Arial" w:eastAsia="Arial" w:hAnsi="Arial"/>
                <w:color w:val="1B5E20"/>
                <w:sz w:val="16"/>
                <w:szCs w:val="16"/>
              </w:rPr>
              <w:t xml:space="preserve">Margen 2x = $666 / 2 = $333 (33% capital)</w:t>
            </w:r>
          </w:p>
        </w:tc>
      </w:tr>
    </w:tbl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E67E22" w:sz="1"/>
              <w:left w:val="thick" w:color="E67E22" w:sz="12"/>
              <w:bottom w:val="single" w:color="E67E22" w:sz="1"/>
              <w:right w:val="single" w:color="E67E22" w:sz="1"/>
            </w:tcBorders>
            <w:shd w:fill="FFFB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⚠  Sobre el apalancamiento en Futuros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6D4C00"/>
                <w:sz w:val="17"/>
                <w:szCs w:val="17"/>
              </w:rPr>
              <w:t xml:space="preserve">Con sizing del 1% de riesgo y SL del 1.5%, la posición ya equivale al 67% del capital (apalancamiento implícito 0.67x). Usar apalancamiento 2x de plataforma es razonable: reduce el margen inmovilizado a la mitad sin aumentar el riesgo real (el SL sigue siendo el mismo). </w:t>
            </w: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NUNCA usar apalancamiento &gt; 3x con esta estrategia: el SL del 1.5% se puede barrer por fees + spreads.</w:t>
            </w:r>
          </w:p>
        </w:tc>
      </w:tr>
    </w:tbl>
    <w:p>
      <w:pPr>
        <w:spacing w:before="24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6.  Condiciones de Salida</w:t>
      </w:r>
    </w:p>
    <w:p>
      <w:pPr>
        <w:pBdr>
          <w:bottom w:val="single" w:color="E67E22" w:sz="8" w:space="1"/>
        </w:pBdr>
        <w:spacing w:before="0" w:after="0"/>
      </w:pPr>
    </w:p>
    <w:p>
      <w:pPr>
        <w:spacing w:before="8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760"/>
        <w:gridCol w:w="4760"/>
      </w:tblGrid>
      <w:tr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Condición de Salida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6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⬆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Take Profit alcanzado (+3.0% LONG / -3.0% SHORT)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Precio toca el nivel TP fijado al abrir la posición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Cerrar 100% de la posición. Tomar ganancia completa. No mover el TP esperando más recorrido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6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⬇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Stop Loss alcanzado (-1.5% LONG / +1.5% SHORT)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Precio toca el nivel SL fijado al abrir la posición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Cerrar 100% de la posición. Aceptar la pérdida. El SL existe para proteger el capital restante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6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⚠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Evento macro imprevisto con posición abierta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Noticia de alto impacto (crash, hack exchange, reg. regulatoria)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Cierre manual inmediato a precio de mercado si el precio cruza SL en la misma vela o volumen &gt; 5x promedio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S4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6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Funding Rate se vuelve adverso durante la posición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Nuevo periodo de funding con tasa &gt; +0.08% para LONG o &lt; -0.08% para SHORT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Evaluar cierre si el funding acumulado ya supera el 30% del TP esperado. Exclusivo de futuros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S5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6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⏱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Posición abierta &gt; 5 días sin resolver (5M)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Más de 1,440 velas sin alcanzar ni TP ni SL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Cierre manual discrecional. En 5M, 5 días sin movimiento indica lateral prolongado: la tesis de reversión ya no es válida</w:t>
            </w:r>
          </w:p>
        </w:tc>
      </w:tr>
    </w:tbl>
    <w:p>
      <w:pPr>
        <w:spacing w:before="24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7.  Checklist Pre-Entrada — Futuros 5M</w:t>
      </w:r>
    </w:p>
    <w:p>
      <w:pPr>
        <w:pBdr>
          <w:bottom w:val="single" w:color="0F3460" w:sz="8" w:space="1"/>
        </w:pBdr>
        <w:spacing w:before="0" w:after="0"/>
      </w:pPr>
    </w:p>
    <w:p>
      <w:pPr>
        <w:spacing w:before="60" w:after="80"/>
      </w:pPr>
    </w:p>
    <w:p>
      <w:pPr>
        <w:spacing w:before="40" w:after="8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Verificar en orden. Los puntos marcados con </w:t>
      </w: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★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son exclusivos de futuros. Todos deben ser SÍ para abrir la posición.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"/>
        <w:gridCol w:w="6720"/>
        <w:gridCol w:w="2500"/>
      </w:tblGrid>
      <w:tr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 verificar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□ 1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LONG: lrc_pct ≤ 25%  |  SHORT: lrc_pct ≥ 75%?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Indicador LRC en TradingView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□ 2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Dirección correcta según contexto macro (SMA100 en 4H)?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Chart 4H de BTCUSDT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□ 3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hay noticia macro en los próximos 30 min?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ForexFactory / TradingView Economic Calendar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□ 4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 última vela NO es BullEng (LONG) ni BearEng (SHORT)?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Chart de velas 5M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□ 5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hay racha perdedora de 3+ consecutivos?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Log de operaciones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□ 6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★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Funding Rate es &lt; 0.10% para LONG o &gt; -0.10% para SHORT?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Panel Futuros Binance (Funding Rate)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□ 7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★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Open Interest estable o creciendo (no en colapso)?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CoinGlass.com o Binance Futures OI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□ 8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★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Apalancamiento configurado en 2x máximo en Binance?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Panel Futuros Binance (Leverage)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□ 9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Ya se calculó el Qty BTC con la fórmula de sizing?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Calculadora / hoja Excel</w:t>
            </w:r>
          </w:p>
        </w:tc>
      </w:tr>
      <w:tr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□ 10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Están colocadas las órdenes SL y TP en Binance Futuros?</w:t>
            </w:r>
          </w:p>
        </w:tc>
        <w:tc>
          <w:tcPr>
            <w:gridSpan w:val="1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Panel de órdenes Binance Futuros</w:t>
            </w:r>
          </w:p>
        </w:tc>
      </w:tr>
    </w:tbl>
    <w:p>
      <w:pPr>
        <w:spacing w:before="240"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0392B" w:sz="1"/>
              <w:left w:val="thick" w:color="C0392B" w:sz="12"/>
              <w:bottom w:val="single" w:color="C0392B" w:sz="1"/>
              <w:right w:val="single" w:color="C0392B" w:sz="1"/>
            </w:tcBorders>
            <w:shd w:fill="FFECE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  Aviso importante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8B0000"/>
                <w:sz w:val="17"/>
                <w:szCs w:val="17"/>
              </w:rPr>
              <w:t xml:space="preserve">Los resultados mostrados provienen de backtesting con datos sintéticos (proceso Ornstein-Uhlenbeck), no de datos históricos reales de Binance. Los futuros perpetuos conllevan riesgos adicionales al Spot: liquidación forzada, funding rates, mayor volatilidad y posibilidad de pérdida total del capital comprometido como margen. Se recomienda validar con paper trading al menos 3 meses antes de operar con capital real.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483" w:sz="4" w:space="6"/>
      </w:pBdr>
      <w:tabs>
        <w:tab w:val="right" w:pos="9000"/>
      </w:tabs>
      <w:spacing w:before="100" w:after="0"/>
    </w:pPr>
    <w:r>
      <w:rPr>
        <w:rFonts w:ascii="Arial" w:cs="Arial" w:eastAsia="Arial" w:hAnsi="Arial"/>
        <w:i/>
        <w:iCs/>
        <w:color w:val="AAAAAA"/>
        <w:sz w:val="15"/>
        <w:szCs w:val="15"/>
      </w:rPr>
      <w:t xml:space="preserve">Solo para uso educativo. No constituye asesoramiento financiero.</w:t>
    </w:r>
    <w:r>
      <w:rPr>
        <w:rFonts w:ascii="Arial" w:cs="Arial" w:eastAsia="Arial" w:hAnsi="Arial"/>
        <w:color w:val="888888"/>
        <w:sz w:val="15"/>
        <w:szCs w:val="15"/>
      </w:rPr>
      <w:t xml:space="preserve">	Pág.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3483" w:sz="4" w:space="6"/>
      </w:pBdr>
      <w:spacing w:before="0" w:after="120"/>
    </w:pPr>
    <w:r>
      <w:rPr>
        <w:rFonts w:ascii="Arial" w:cs="Arial" w:eastAsia="Arial" w:hAnsi="Arial"/>
        <w:b/>
        <w:bCs/>
        <w:color w:val="0F3460"/>
        <w:sz w:val="17"/>
        <w:szCs w:val="17"/>
      </w:rPr>
      <w:t xml:space="preserve">Ultimate Macro &amp; Order Flow V6.0</w:t>
    </w:r>
    <w:r>
      <w:rPr>
        <w:rFonts w:ascii="Arial" w:cs="Arial" w:eastAsia="Arial" w:hAnsi="Arial"/>
        <w:color w:val="888888"/>
        <w:sz w:val="17"/>
        <w:szCs w:val="17"/>
      </w:rPr>
      <w:t xml:space="preserve">   |   Condiciones de Entrada FUTUROS 5M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640" w:hanging="360"/>
      </w:pPr>
      <w:rPr>
        <w:rFonts w:ascii="Arial" w:cs="Arial" w:eastAsia="Arial" w:hAnsi="Arial"/>
        <w:color w:val="2C3E50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24" w:after="24"/>
        <w:ind w:left="560" w:hanging="280"/>
      </w:pPr>
      <w:rPr>
        <w:rFonts w:ascii="Arial" w:cs="Arial" w:eastAsia="Arial" w:hAnsi="Arial"/>
        <w:color w:val="2C3E50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0F346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6213E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E67E2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2026-03-20T22:57:27.810Z</dcterms:created>
  <dcterms:modified xsi:type="dcterms:W3CDTF">2026-03-20T22:57:27.810Z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