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F3460" w:val="clear"/>
            <w:tcMar>
              <w:top w:type="dxa" w:w="400"/>
              <w:left w:type="dxa" w:w="400"/>
              <w:bottom w:type="dxa" w:w="320"/>
              <w:right w:type="dxa" w:w="400"/>
            </w:tcMar>
          </w:tcPr>
          <w:p>
            <w:pPr>
              <w:spacing w:before="60" w:after="60"/>
              <w:jc w:val="center"/>
            </w:pPr>
            <w:r>
              <w:rPr>
                <w:rFonts w:ascii="Arial" w:cs="Arial" w:eastAsia="Arial" w:hAnsi="Arial"/>
                <w:b/>
                <w:bCs/>
                <w:color w:val="FFFFFF"/>
                <w:sz w:val="40"/>
                <w:szCs w:val="40"/>
              </w:rPr>
              <w:t xml:space="preserve">Ultimate Macro &amp; Order Flow V6.0</w:t>
            </w:r>
          </w:p>
          <w:p>
            <w:pPr>
              <w:spacing w:before="40" w:after="40"/>
              <w:jc w:val="center"/>
            </w:pPr>
            <w:r>
              <w:rPr>
                <w:rFonts w:ascii="Arial" w:cs="Arial" w:eastAsia="Arial" w:hAnsi="Arial"/>
                <w:b/>
                <w:bCs/>
                <w:color w:val="E6A817"/>
                <w:sz w:val="28"/>
                <w:szCs w:val="28"/>
              </w:rPr>
              <w:t xml:space="preserve">CONDICIONES DE ENTRADA — TRADING SPOT</w:t>
            </w:r>
          </w:p>
          <w:p>
            <w:pPr>
              <w:spacing w:before="60" w:after="40"/>
              <w:jc w:val="center"/>
            </w:pPr>
            <w:r>
              <w:rPr>
                <w:rFonts w:ascii="Arial" w:cs="Arial" w:eastAsia="Arial" w:hAnsi="Arial"/>
                <w:color w:val="CCDDFF"/>
                <w:sz w:val="19"/>
                <w:szCs w:val="19"/>
              </w:rPr>
              <w:t xml:space="preserve">BTCUSDT  |  Temporalidad 4H y 1H  |  Solo posiciones LONG</w:t>
            </w:r>
          </w:p>
        </w:tc>
      </w:tr>
    </w:tbl>
    <w:p>
      <w:pPr>
        <w:spacing w:before="180"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gridSpan w:val="2"/>
            <w:tcBorders>
              <w:top w:val="single" w:color="FFFFFF" w:sz="1"/>
              <w:left w:val="single" w:color="FFFFFF" w:sz="1"/>
              <w:bottom w:val="single" w:color="FFFFFF" w:sz="1"/>
              <w:right w:val="single" w:color="FFFFFF" w:sz="1"/>
            </w:tcBorders>
            <w:shd w:fill="E6A81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4H Spot</w:t>
            </w:r>
          </w:p>
        </w:tc>
        <w:tc>
          <w:tcPr>
            <w:gridSpan w:val="2"/>
            <w:tcBorders>
              <w:top w:val="single" w:color="FFFFFF" w:sz="1"/>
              <w:left w:val="single" w:color="FFFFFF" w:sz="1"/>
              <w:bottom w:val="single" w:color="FFFFFF" w:sz="1"/>
              <w:right w:val="single" w:color="FFFFFF" w:sz="1"/>
            </w:tcBorders>
            <w:shd w:fill="16A085"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1H Spot</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7"/>
                <w:szCs w:val="17"/>
              </w:rPr>
              <w:t xml:space="preserve">Retorno backtesting</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1B5E20"/>
                <w:sz w:val="18"/>
                <w:szCs w:val="18"/>
              </w:rPr>
              <w:t xml:space="preserve">+65.6%  (71 trades)</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7"/>
                <w:szCs w:val="17"/>
              </w:rPr>
              <w:t xml:space="preserve">Retorno backtesting</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1B5E20"/>
                <w:sz w:val="18"/>
                <w:szCs w:val="18"/>
              </w:rPr>
              <w:t xml:space="preserve">+86.1%  (147 trades)</w:t>
            </w:r>
          </w:p>
        </w:tc>
      </w:tr>
      <w:tr>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7"/>
                <w:szCs w:val="17"/>
              </w:rPr>
              <w:t xml:space="preserve">Win Rate</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bCs/>
                <w:color w:val="1B5E20"/>
                <w:sz w:val="18"/>
                <w:szCs w:val="18"/>
              </w:rPr>
              <w:t xml:space="preserve">59.2%</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7"/>
                <w:szCs w:val="17"/>
              </w:rPr>
              <w:t xml:space="preserve">Win Rate</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bCs/>
                <w:color w:val="1B5E20"/>
                <w:sz w:val="18"/>
                <w:szCs w:val="18"/>
              </w:rPr>
              <w:t xml:space="preserve">50.3%</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7"/>
                <w:szCs w:val="17"/>
              </w:rPr>
              <w:t xml:space="preserve">Sharpe Ratio</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1B5E20"/>
                <w:sz w:val="18"/>
                <w:szCs w:val="18"/>
              </w:rPr>
              <w:t xml:space="preserve">7.32</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7"/>
                <w:szCs w:val="17"/>
              </w:rPr>
              <w:t xml:space="preserve">Sharpe Ratio</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1B5E20"/>
                <w:sz w:val="18"/>
                <w:szCs w:val="18"/>
              </w:rPr>
              <w:t xml:space="preserve">4.59</w:t>
            </w:r>
          </w:p>
        </w:tc>
      </w:tr>
      <w:tr>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7"/>
                <w:szCs w:val="17"/>
              </w:rPr>
              <w:t xml:space="preserve">Max Drawdown</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bCs/>
                <w:color w:val="E67E22"/>
                <w:sz w:val="18"/>
                <w:szCs w:val="18"/>
              </w:rPr>
              <w:t xml:space="preserve">-5.14%</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7"/>
                <w:szCs w:val="17"/>
              </w:rPr>
              <w:t xml:space="preserve">Max Drawdown</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bCs/>
                <w:color w:val="E67E22"/>
                <w:sz w:val="18"/>
                <w:szCs w:val="18"/>
              </w:rPr>
              <w:t xml:space="preserve">-8.51%</w:t>
            </w:r>
          </w:p>
        </w:tc>
      </w:tr>
    </w:tbl>
    <w:p>
      <w:pPr>
        <w:spacing w:before="280" w:after="120"/>
      </w:pPr>
    </w:p>
    <w:p>
      <w:pPr>
        <w:pStyle w:val="Heading1"/>
      </w:pPr>
      <w:r>
        <w:rPr>
          <w:rFonts w:ascii="Arial" w:cs="Arial" w:eastAsia="Arial" w:hAnsi="Arial"/>
          <w:b/>
          <w:bCs/>
          <w:color w:val="0F3460"/>
          <w:sz w:val="36"/>
          <w:szCs w:val="36"/>
        </w:rPr>
        <w:t xml:space="preserve">1.  Condición Primaria Obligatoria</w:t>
      </w:r>
    </w:p>
    <w:p>
      <w:pPr>
        <w:pBdr>
          <w:bottom w:val="single" w:color="0F3460" w:sz="8" w:space="1"/>
        </w:pBdr>
        <w:spacing w:before="0" w:after="0"/>
      </w:pPr>
    </w:p>
    <w:p>
      <w:pPr>
        <w:spacing w:before="60" w:after="80"/>
      </w:pPr>
    </w:p>
    <w:p>
      <w:pPr>
        <w:spacing w:before="40" w:after="120"/>
      </w:pPr>
      <w:r>
        <w:rPr>
          <w:rFonts w:ascii="Arial" w:cs="Arial" w:eastAsia="Arial" w:hAnsi="Arial"/>
          <w:i/>
          <w:iCs/>
          <w:color w:val="555555"/>
          <w:sz w:val="19"/>
          <w:szCs w:val="19"/>
        </w:rPr>
        <w:t xml:space="preserve">Esta condición es el filtro central de la estrategia. Sin ella, no se evaluóa ninguna otra.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7120"/>
        <w:gridCol w:w="2480"/>
      </w:tblGrid>
      <w:tr>
        <w:tc>
          <w:tcPr>
            <w:gridSpan w:val="1"/>
            <w:tcBorders>
              <w:top w:val="single" w:color="FFFFFF" w:sz="1"/>
              <w:left w:val="single" w:color="FFFFFF" w:sz="1"/>
              <w:bottom w:val="single" w:color="FFFFFF" w:sz="1"/>
              <w:right w:val="single" w:color="FFFFFF" w:sz="1"/>
            </w:tcBorders>
            <w:shd w:fill="0F346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w:t>
            </w:r>
          </w:p>
        </w:tc>
        <w:tc>
          <w:tcPr>
            <w:gridSpan w:val="1"/>
            <w:tcBorders>
              <w:top w:val="single" w:color="FFFFFF" w:sz="1"/>
              <w:left w:val="single" w:color="FFFFFF" w:sz="1"/>
              <w:bottom w:val="single" w:color="FFFFFF" w:sz="1"/>
              <w:right w:val="single" w:color="FFFFFF" w:sz="1"/>
            </w:tcBorders>
            <w:shd w:fill="0F346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Condición</w:t>
            </w:r>
          </w:p>
        </w:tc>
        <w:tc>
          <w:tcPr>
            <w:gridSpan w:val="1"/>
            <w:tcBorders>
              <w:top w:val="single" w:color="FFFFFF" w:sz="1"/>
              <w:left w:val="single" w:color="FFFFFF" w:sz="1"/>
              <w:bottom w:val="single" w:color="FFFFFF" w:sz="1"/>
              <w:right w:val="single" w:color="FFFFFF" w:sz="1"/>
            </w:tcBorders>
            <w:shd w:fill="0F346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Parámetro</w:t>
            </w:r>
          </w:p>
        </w:tc>
      </w:tr>
      <w:tr>
        <w:tc>
          <w:tcPr>
            <w:gridSpan w:val="1"/>
            <w:tcBorders>
              <w:top w:val="single" w:color="D0D5DD" w:sz="1"/>
              <w:left w:val="single" w:color="D0D5DD" w:sz="1"/>
              <w:bottom w:val="single" w:color="D0D5DD" w:sz="1"/>
              <w:right w:val="single" w:color="D0D5DD" w:sz="1"/>
            </w:tcBorders>
            <w:shd w:fill="FDF3DC" w:val="clear"/>
            <w:tcMar>
              <w:top w:type="dxa" w:w="100"/>
              <w:left w:type="dxa" w:w="140"/>
              <w:bottom w:type="dxa" w:w="100"/>
              <w:right w:type="dxa" w:w="140"/>
            </w:tcMar>
            <w:vAlign w:val="center"/>
          </w:tcPr>
          <w:p>
            <w:pPr>
              <w:spacing w:before="30" w:after="30"/>
              <w:jc w:val="center"/>
            </w:pPr>
            <w:r>
              <w:rPr>
                <w:rFonts w:ascii="Arial" w:cs="Arial" w:eastAsia="Arial" w:hAnsi="Arial"/>
                <w:b/>
                <w:bCs/>
                <w:color w:val="0F3460"/>
                <w:sz w:val="20"/>
                <w:szCs w:val="20"/>
              </w:rPr>
              <w:t xml:space="preserve">01</w:t>
            </w:r>
          </w:p>
        </w:tc>
        <w:tc>
          <w:tcPr>
            <w:tcBorders>
              <w:top w:val="single" w:color="D0D5DD" w:sz="1"/>
              <w:left w:val="single" w:color="D0D5DD" w:sz="1"/>
              <w:bottom w:val="single" w:color="D0D5DD" w:sz="1"/>
              <w:right w:val="single" w:color="D0D5DD" w:sz="1"/>
            </w:tcBorders>
            <w:shd w:fill="FFF8E7" w:val="clear"/>
            <w:tcMar>
              <w:top w:type="dxa" w:w="100"/>
              <w:left w:type="dxa" w:w="140"/>
              <w:bottom w:type="dxa" w:w="100"/>
              <w:right w:type="dxa" w:w="140"/>
            </w:tcMar>
          </w:tcPr>
          <w:p>
            <w:pPr>
              <w:spacing w:before="30" w:after="8"/>
            </w:pPr>
            <w:r>
              <w:rPr>
                <w:rFonts w:ascii="Arial" w:cs="Arial" w:eastAsia="Arial" w:hAnsi="Arial"/>
                <w:b/>
                <w:bCs/>
                <w:color w:val="0F3460"/>
                <w:sz w:val="20"/>
                <w:szCs w:val="20"/>
              </w:rPr>
              <w:t xml:space="preserve">Posición LRC ≤ 25 %</w:t>
            </w:r>
          </w:p>
          <w:p>
            <w:pPr>
              <w:spacing w:before="0" w:after="30"/>
            </w:pPr>
            <w:r>
              <w:rPr>
                <w:rFonts w:ascii="Arial" w:cs="Arial" w:eastAsia="Arial" w:hAnsi="Arial"/>
                <w:color w:val="555555"/>
                <w:sz w:val="17"/>
                <w:szCs w:val="17"/>
              </w:rPr>
              <w:t xml:space="preserve">El precio de cierre debe estar en el cuartil inferior del Canal de Regresión Lineal (100 barras, 2σ). Zona de sobreventa estructural que activa la reversión a la media.</w:t>
            </w:r>
          </w:p>
        </w:tc>
        <w:tc>
          <w:tcPr>
            <w:tcBorders>
              <w:top w:val="single" w:color="D0D5DD" w:sz="1"/>
              <w:left w:val="single" w:color="D0D5DD" w:sz="1"/>
              <w:bottom w:val="single" w:color="D0D5DD" w:sz="1"/>
              <w:right w:val="single" w:color="D0D5DD" w:sz="1"/>
            </w:tcBorders>
            <w:shd w:fill="FFF8E7" w:val="clear"/>
            <w:tcMar>
              <w:top w:type="dxa" w:w="100"/>
              <w:left w:type="dxa" w:w="140"/>
              <w:bottom w:type="dxa" w:w="100"/>
              <w:right w:type="dxa" w:w="140"/>
            </w:tcMar>
            <w:vAlign w:val="center"/>
          </w:tcPr>
          <w:p>
            <w:pPr>
              <w:spacing w:before="20" w:after="6"/>
              <w:jc w:val="center"/>
            </w:pPr>
            <w:r>
              <w:rPr>
                <w:rFonts w:ascii="Courier New" w:cs="Courier New" w:eastAsia="Courier New" w:hAnsi="Courier New"/>
                <w:b/>
                <w:bCs/>
                <w:color w:val="0F3460"/>
                <w:sz w:val="19"/>
                <w:szCs w:val="19"/>
              </w:rPr>
              <w:t xml:space="preserve">lrc_pct ≤ 25</w:t>
            </w:r>
          </w:p>
          <w:p>
            <w:pPr>
              <w:spacing w:before="0" w:after="20"/>
              <w:jc w:val="center"/>
            </w:pPr>
            <w:r>
              <w:rPr>
                <w:rFonts w:ascii="Arial" w:cs="Arial" w:eastAsia="Arial" w:hAnsi="Arial"/>
                <w:color w:val="888888"/>
                <w:sz w:val="16"/>
                <w:szCs w:val="16"/>
              </w:rPr>
              <w:t xml:space="preserve">LRC(100, 2σ)</w:t>
            </w:r>
          </w:p>
        </w:tc>
      </w:tr>
    </w:tbl>
    <w:p>
      <w:pPr>
        <w:spacing w:before="240" w:after="160"/>
      </w:pPr>
    </w:p>
    <w:p>
      <w:pPr>
        <w:pStyle w:val="Heading1"/>
      </w:pPr>
      <w:r>
        <w:rPr>
          <w:rFonts w:ascii="Arial" w:cs="Arial" w:eastAsia="Arial" w:hAnsi="Arial"/>
          <w:b/>
          <w:bCs/>
          <w:color w:val="0F3460"/>
          <w:sz w:val="36"/>
          <w:szCs w:val="36"/>
        </w:rPr>
        <w:t xml:space="preserve">2.  Condiciones de Exclusión (Bloqueos)</w:t>
      </w:r>
    </w:p>
    <w:p>
      <w:pPr>
        <w:pBdr>
          <w:bottom w:val="single" w:color="C0392B" w:sz="8" w:space="1"/>
        </w:pBdr>
        <w:spacing w:before="0" w:after="0"/>
      </w:pPr>
    </w:p>
    <w:p>
      <w:pPr>
        <w:spacing w:before="60" w:after="80"/>
      </w:pPr>
    </w:p>
    <w:p>
      <w:pPr>
        <w:spacing w:before="40" w:after="120"/>
      </w:pPr>
      <w:r>
        <w:rPr>
          <w:rFonts w:ascii="Arial" w:cs="Arial" w:eastAsia="Arial" w:hAnsi="Arial"/>
          <w:b/>
          <w:bCs/>
          <w:color w:val="C0392B"/>
          <w:sz w:val="19"/>
          <w:szCs w:val="19"/>
        </w:rPr>
        <w:t xml:space="preserve">Si cualquiera de estas condiciones está activa, NO se abre la operación aunque se cumpla la condición primaria.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5600"/>
        <w:gridCol w:w="4000"/>
      </w:tblGrid>
      <w:tr>
        <w:tc>
          <w:tcPr>
            <w:gridSpan w:val="1"/>
            <w:tcBorders>
              <w:top w:val="single" w:color="FFFFFF" w:sz="1"/>
              <w:left w:val="single" w:color="FFFFFF" w:sz="1"/>
              <w:bottom w:val="single" w:color="FFFFFF" w:sz="1"/>
              <w:right w:val="single" w:color="FFFFFF" w:sz="1"/>
            </w:tcBorders>
            <w:shd w:fill="C0392B"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w:t>
            </w:r>
          </w:p>
        </w:tc>
        <w:tc>
          <w:tcPr>
            <w:gridSpan w:val="1"/>
            <w:tcBorders>
              <w:top w:val="single" w:color="FFFFFF" w:sz="1"/>
              <w:left w:val="single" w:color="FFFFFF" w:sz="1"/>
              <w:bottom w:val="single" w:color="FFFFFF" w:sz="1"/>
              <w:right w:val="single" w:color="FFFFFF" w:sz="1"/>
            </w:tcBorders>
            <w:shd w:fill="C0392B"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Excluir si...</w:t>
            </w:r>
          </w:p>
        </w:tc>
        <w:tc>
          <w:tcPr>
            <w:gridSpan w:val="1"/>
            <w:tcBorders>
              <w:top w:val="single" w:color="FFFFFF" w:sz="1"/>
              <w:left w:val="single" w:color="FFFFFF" w:sz="1"/>
              <w:bottom w:val="single" w:color="FFFFFF" w:sz="1"/>
              <w:right w:val="single" w:color="FFFFFF" w:sz="1"/>
            </w:tcBorders>
            <w:shd w:fill="C0392B"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Razón</w:t>
            </w:r>
          </w:p>
        </w:tc>
      </w:tr>
      <w:tr>
        <w:tc>
          <w:tcPr>
            <w:gridSpan w:val="1"/>
            <w:tcBorders>
              <w:top w:val="single" w:color="D0D5DD" w:sz="1"/>
              <w:left w:val="single" w:color="D0D5DD" w:sz="1"/>
              <w:bottom w:val="single" w:color="D0D5DD" w:sz="1"/>
              <w:right w:val="single" w:color="D0D5DD" w:sz="1"/>
            </w:tcBorders>
            <w:shd w:fill="FDECEA" w:val="clear"/>
            <w:tcMar>
              <w:top w:type="dxa" w:w="100"/>
              <w:left w:type="dxa" w:w="140"/>
              <w:bottom w:type="dxa" w:w="100"/>
              <w:right w:type="dxa" w:w="140"/>
            </w:tcMar>
            <w:vAlign w:val="center"/>
          </w:tcPr>
          <w:p>
            <w:pPr>
              <w:spacing w:before="30" w:after="30"/>
              <w:jc w:val="center"/>
            </w:pPr>
            <w:r>
              <w:rPr>
                <w:rFonts w:ascii="Arial" w:cs="Arial" w:eastAsia="Arial" w:hAnsi="Arial"/>
                <w:b/>
                <w:bCs/>
                <w:color w:val="C0392B"/>
                <w:sz w:val="20"/>
                <w:szCs w:val="20"/>
              </w:rPr>
              <w:t xml:space="preserve">E1</w:t>
            </w:r>
          </w:p>
        </w:tc>
        <w:tc>
          <w:tcPr>
            <w:tcBorders>
              <w:top w:val="single" w:color="FFCCCC" w:sz="1"/>
              <w:left w:val="single" w:color="FFCCCC" w:sz="1"/>
              <w:bottom w:val="single" w:color="FFCCCC" w:sz="1"/>
              <w:right w:val="single" w:color="FFCCCC" w:sz="1"/>
            </w:tcBorders>
            <w:shd w:fill="FFF5F5" w:val="clear"/>
            <w:tcMar>
              <w:top w:type="dxa" w:w="100"/>
              <w:left w:type="dxa" w:w="140"/>
              <w:bottom w:type="dxa" w:w="100"/>
              <w:right w:type="dxa" w:w="140"/>
            </w:tcMar>
          </w:tcPr>
          <w:p>
            <w:pPr>
              <w:spacing w:before="30" w:after="30"/>
            </w:pPr>
            <w:r>
              <w:rPr>
                <w:rFonts w:ascii="Arial" w:cs="Arial" w:eastAsia="Arial" w:hAnsi="Arial"/>
                <w:b/>
                <w:bCs/>
                <w:color w:val="2C3E50"/>
                <w:sz w:val="19"/>
                <w:szCs w:val="19"/>
              </w:rPr>
              <w:t xml:space="preserve">Patrón BullEngulfing activo </w:t>
            </w:r>
            <w:r>
              <w:rPr>
                <w:rFonts w:ascii="Arial" w:cs="Arial" w:eastAsia="Arial" w:hAnsi="Arial"/>
                <w:color w:val="666666"/>
                <w:sz w:val="17"/>
                <w:szCs w:val="17"/>
              </w:rPr>
              <w:t xml:space="preserve">(vela alcista que cubre totalmente la anterior)</w:t>
            </w:r>
          </w:p>
        </w:tc>
        <w:tc>
          <w:tcPr>
            <w:gridSpan w:val="1"/>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El precio ya reboTó antes del cierre de vela; la entrada sería en micro-techo, no en el suelo real</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C0392B"/>
                <w:sz w:val="20"/>
                <w:szCs w:val="20"/>
              </w:rPr>
              <w:t xml:space="preserve">E2</w:t>
            </w:r>
          </w:p>
        </w:tc>
        <w:tc>
          <w:tcPr>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pPr>
              <w:spacing w:before="30" w:after="30"/>
            </w:pPr>
            <w:r>
              <w:rPr>
                <w:rFonts w:ascii="Arial" w:cs="Arial" w:eastAsia="Arial" w:hAnsi="Arial"/>
                <w:b/>
                <w:bCs/>
                <w:color w:val="2C3E50"/>
                <w:sz w:val="19"/>
                <w:szCs w:val="19"/>
              </w:rPr>
              <w:t xml:space="preserve">Ventana de noticias macro ± 30 min </w:t>
            </w:r>
            <w:r>
              <w:rPr>
                <w:rFonts w:ascii="Arial" w:cs="Arial" w:eastAsia="Arial" w:hAnsi="Arial"/>
                <w:color w:val="666666"/>
                <w:sz w:val="17"/>
                <w:szCs w:val="17"/>
              </w:rPr>
              <w:t xml:space="preserve">(FOMC, CPI, NFP, datos empleo, decisiones Binance/SEC)</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Alta volatilidad impredecible: el SL puede ser alcanzado por spike instantáneo antes del movimiento real</w:t>
            </w:r>
          </w:p>
        </w:tc>
      </w:tr>
      <w:tr>
        <w:tc>
          <w:tcPr>
            <w:gridSpan w:val="1"/>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vAlign w:val="center"/>
          </w:tcPr>
          <w:p>
            <w:pPr>
              <w:spacing w:before="30" w:after="30"/>
              <w:jc w:val="center"/>
            </w:pPr>
            <w:r>
              <w:rPr>
                <w:rFonts w:ascii="Arial" w:cs="Arial" w:eastAsia="Arial" w:hAnsi="Arial"/>
                <w:b/>
                <w:bCs/>
                <w:color w:val="C0392B"/>
                <w:sz w:val="20"/>
                <w:szCs w:val="20"/>
              </w:rPr>
              <w:t xml:space="preserve">E3</w:t>
            </w:r>
          </w:p>
        </w:tc>
        <w:tc>
          <w:tcPr>
            <w:tcBorders>
              <w:top w:val="single" w:color="FFCCCC" w:sz="1"/>
              <w:left w:val="single" w:color="FFCCCC" w:sz="1"/>
              <w:bottom w:val="single" w:color="FFCCCC" w:sz="1"/>
              <w:right w:val="single" w:color="FFCCCC" w:sz="1"/>
            </w:tcBorders>
            <w:shd w:fill="FFF5F5" w:val="clear"/>
            <w:tcMar>
              <w:top w:type="dxa" w:w="100"/>
              <w:left w:type="dxa" w:w="140"/>
              <w:bottom w:type="dxa" w:w="100"/>
              <w:right w:type="dxa" w:w="140"/>
            </w:tcMar>
          </w:tcPr>
          <w:p>
            <w:pPr>
              <w:spacing w:before="30" w:after="30"/>
            </w:pPr>
            <w:r>
              <w:rPr>
                <w:rFonts w:ascii="Arial" w:cs="Arial" w:eastAsia="Arial" w:hAnsi="Arial"/>
                <w:b/>
                <w:bCs/>
                <w:color w:val="2C3E50"/>
                <w:sz w:val="19"/>
                <w:szCs w:val="19"/>
              </w:rPr>
              <w:t xml:space="preserve">Racha perdedora activa ≥ 3 consecutivos</w:t>
            </w:r>
          </w:p>
        </w:tc>
        <w:tc>
          <w:tcPr>
            <w:gridSpan w:val="1"/>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Indicador de posible cambio de régimen. Pausa de 24 h y revisar condiciones del mercado</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C0392B"/>
                <w:sz w:val="20"/>
                <w:szCs w:val="20"/>
              </w:rPr>
              <w:t xml:space="preserve">E4</w:t>
            </w:r>
          </w:p>
        </w:tc>
        <w:tc>
          <w:tcPr>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pPr>
              <w:spacing w:before="30" w:after="30"/>
            </w:pPr>
            <w:r>
              <w:rPr>
                <w:rFonts w:ascii="Arial" w:cs="Arial" w:eastAsia="Arial" w:hAnsi="Arial"/>
                <w:b/>
                <w:bCs/>
                <w:color w:val="2C3E50"/>
                <w:sz w:val="19"/>
                <w:szCs w:val="19"/>
              </w:rPr>
              <w:t xml:space="preserve">Capital disponible &lt; $100 </w:t>
            </w:r>
            <w:r>
              <w:rPr>
                <w:rFonts w:ascii="Arial" w:cs="Arial" w:eastAsia="Arial" w:hAnsi="Arial"/>
                <w:color w:val="666666"/>
                <w:sz w:val="17"/>
                <w:szCs w:val="17"/>
              </w:rPr>
              <w:t xml:space="preserve">(o &lt; 10% del capital inicial)</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Capital insuficiente para sizing mínimo con el 1% de riesgo. Detener operativa y revisar</w:t>
            </w:r>
          </w:p>
        </w:tc>
      </w:tr>
    </w:tbl>
    <w:p>
      <w:pPr>
        <w:spacing w:before="240" w:after="160"/>
      </w:pPr>
    </w:p>
    <w:p>
      <w:pPr>
        <w:pStyle w:val="Heading1"/>
      </w:pPr>
      <w:r>
        <w:rPr>
          <w:rFonts w:ascii="Arial" w:cs="Arial" w:eastAsia="Arial" w:hAnsi="Arial"/>
          <w:b/>
          <w:bCs/>
          <w:color w:val="0F3460"/>
          <w:sz w:val="36"/>
          <w:szCs w:val="36"/>
        </w:rPr>
        <w:t xml:space="preserve">3.  Condiciones de Confirmación (Score)</w:t>
      </w:r>
    </w:p>
    <w:p>
      <w:pPr>
        <w:pBdr>
          <w:bottom w:val="single" w:color="1B5E20" w:sz="8" w:space="1"/>
        </w:pBdr>
        <w:spacing w:before="0" w:after="0"/>
      </w:pPr>
    </w:p>
    <w:p>
      <w:pPr>
        <w:spacing w:before="60" w:after="80"/>
      </w:pPr>
    </w:p>
    <w:p>
      <w:pPr>
        <w:spacing w:before="40" w:after="80"/>
      </w:pPr>
      <w:r>
        <w:rPr>
          <w:rFonts w:ascii="Arial" w:cs="Arial" w:eastAsia="Arial" w:hAnsi="Arial"/>
          <w:i/>
          <w:iCs/>
          <w:color w:val="555555"/>
          <w:sz w:val="19"/>
          <w:szCs w:val="19"/>
        </w:rPr>
        <w:t xml:space="preserve">Son opcionales individualmente, pero mejoran la probabilidad de éxito. Cuantas más se cumplan, mayor calidad de la señal. No se requiere un mínimo obligatorio — la entrada es válida con solo la condición primaria activa.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
        <w:gridCol w:w="480"/>
        <w:gridCol w:w="5600"/>
        <w:gridCol w:w="3460"/>
      </w:tblGrid>
      <w:tr>
        <w:tc>
          <w:tcPr>
            <w:gridSpan w:val="1"/>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Punt.</w:t>
            </w:r>
          </w:p>
        </w:tc>
        <w:tc>
          <w:tcPr>
            <w:gridSpan w:val="1"/>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w:t>
            </w:r>
          </w:p>
        </w:tc>
        <w:tc>
          <w:tcPr>
            <w:gridSpan w:val="1"/>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Condición</w:t>
            </w:r>
          </w:p>
        </w:tc>
        <w:tc>
          <w:tcPr>
            <w:gridSpan w:val="1"/>
            <w:tcBorders>
              <w:top w:val="single" w:color="FFFFFF" w:sz="1"/>
              <w:left w:val="single" w:color="FFFFFF" w:sz="1"/>
              <w:bottom w:val="single" w:color="FFFFFF" w:sz="1"/>
              <w:right w:val="single" w:color="FFFFFF" w:sz="1"/>
            </w:tcBorders>
            <w:shd w:fill="1B5E2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Indicador / Valor</w:t>
            </w:r>
          </w:p>
        </w:tc>
      </w:tr>
      <w:tr>
        <w:tc>
          <w:tcPr>
            <w:gridSpan w:val="1"/>
            <w:tcBorders>
              <w:top w:val="single" w:color="D0D5DD" w:sz="1"/>
              <w:left w:val="single" w:color="D0D5DD" w:sz="1"/>
              <w:bottom w:val="single" w:color="D0D5DD" w:sz="1"/>
              <w:right w:val="single" w:color="D0D5DD" w:sz="1"/>
            </w:tcBorders>
            <w:shd w:fill="E8F5E9" w:val="clear"/>
            <w:tcMar>
              <w:top w:type="dxa" w:w="100"/>
              <w:left w:type="dxa" w:w="140"/>
              <w:bottom w:type="dxa" w:w="100"/>
              <w:right w:type="dxa" w:w="140"/>
            </w:tcMar>
            <w:vAlign w:val="center"/>
          </w:tcPr>
          <w:p>
            <w:pPr>
              <w:spacing w:before="30" w:after="30"/>
              <w:jc w:val="center"/>
            </w:pPr>
            <w:r>
              <w:rPr>
                <w:rFonts w:ascii="Arial" w:cs="Arial" w:eastAsia="Arial" w:hAnsi="Arial"/>
                <w:b/>
                <w:bCs/>
                <w:color w:val="1B5E20"/>
                <w:sz w:val="19"/>
                <w:szCs w:val="19"/>
              </w:rPr>
              <w:t xml:space="preserve">+2</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555555"/>
                <w:sz w:val="18"/>
                <w:szCs w:val="18"/>
              </w:rPr>
              <w:t xml:space="preserve">C1</w:t>
            </w:r>
          </w:p>
        </w:tc>
        <w:tc>
          <w:tcPr>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pPr>
            <w:r>
              <w:rPr>
                <w:rFonts w:ascii="Arial" w:cs="Arial" w:eastAsia="Arial" w:hAnsi="Arial"/>
                <w:b/>
                <w:bCs/>
                <w:color w:val="1B5E20"/>
                <w:sz w:val="18"/>
                <w:szCs w:val="18"/>
              </w:rPr>
              <w:t xml:space="preserve">✔  </w:t>
            </w:r>
            <w:r>
              <w:rPr>
                <w:rFonts w:ascii="Arial" w:cs="Arial" w:eastAsia="Arial" w:hAnsi="Arial"/>
                <w:b/>
                <w:bCs/>
                <w:color w:val="2C3E50"/>
                <w:sz w:val="17"/>
                <w:szCs w:val="17"/>
              </w:rPr>
              <w:t xml:space="preserve">RSI(14) en sobreventa: RSI &lt; 40</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6"/>
                <w:szCs w:val="16"/>
              </w:rPr>
              <w:t xml:space="preserve">RSI(14) &lt; 40  →  precio castigado, rebote probable</w:t>
            </w:r>
          </w:p>
        </w:tc>
      </w:tr>
      <w:tr>
        <w:tc>
          <w:tcPr>
            <w:gridSpan w:val="1"/>
            <w:tcBorders>
              <w:top w:val="single" w:color="D0D5DD" w:sz="1"/>
              <w:left w:val="single" w:color="D0D5DD" w:sz="1"/>
              <w:bottom w:val="single" w:color="D0D5DD" w:sz="1"/>
              <w:right w:val="single" w:color="D0D5DD" w:sz="1"/>
            </w:tcBorders>
            <w:shd w:fill="E8F5E9" w:val="clear"/>
            <w:tcMar>
              <w:top w:type="dxa" w:w="100"/>
              <w:left w:type="dxa" w:w="140"/>
              <w:bottom w:type="dxa" w:w="100"/>
              <w:right w:type="dxa" w:w="140"/>
            </w:tcMar>
            <w:vAlign w:val="center"/>
          </w:tcPr>
          <w:p>
            <w:pPr>
              <w:spacing w:before="30" w:after="30"/>
              <w:jc w:val="center"/>
            </w:pPr>
            <w:r>
              <w:rPr>
                <w:rFonts w:ascii="Arial" w:cs="Arial" w:eastAsia="Arial" w:hAnsi="Arial"/>
                <w:b/>
                <w:bCs/>
                <w:color w:val="1B5E20"/>
                <w:sz w:val="19"/>
                <w:szCs w:val="19"/>
              </w:rPr>
              <w:t xml:space="preserve">+2</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555555"/>
                <w:sz w:val="18"/>
                <w:szCs w:val="18"/>
              </w:rPr>
              <w:t xml:space="preserve">C2</w:t>
            </w:r>
          </w:p>
        </w:tc>
        <w:tc>
          <w:tcPr>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pPr>
            <w:r>
              <w:rPr>
                <w:rFonts w:ascii="Arial" w:cs="Arial" w:eastAsia="Arial" w:hAnsi="Arial"/>
                <w:b/>
                <w:bCs/>
                <w:color w:val="1B5E20"/>
                <w:sz w:val="18"/>
                <w:szCs w:val="18"/>
              </w:rPr>
              <w:t xml:space="preserve">✔  </w:t>
            </w:r>
            <w:r>
              <w:rPr>
                <w:rFonts w:ascii="Arial" w:cs="Arial" w:eastAsia="Arial" w:hAnsi="Arial"/>
                <w:b/>
                <w:bCs/>
                <w:color w:val="2C3E50"/>
                <w:sz w:val="17"/>
                <w:szCs w:val="17"/>
              </w:rPr>
              <w:t xml:space="preserve">Divergencia alcista RSI: precio hace mínimo más bajo, RSI hace mínimo más alto</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6"/>
                <w:szCs w:val="16"/>
              </w:rPr>
              <w:t xml:space="preserve">Confirmación de agotamiento vendedor. Señal de alta fiabilidad histórica</w:t>
            </w:r>
          </w:p>
        </w:tc>
      </w:tr>
      <w:tr>
        <w:tc>
          <w:tcPr>
            <w:gridSpan w:val="1"/>
            <w:tcBorders>
              <w:top w:val="single" w:color="D0D5DD" w:sz="1"/>
              <w:left w:val="single" w:color="D0D5DD" w:sz="1"/>
              <w:bottom w:val="single" w:color="D0D5DD" w:sz="1"/>
              <w:right w:val="single" w:color="D0D5DD" w:sz="1"/>
            </w:tcBorders>
            <w:shd w:fill="F0FAF0" w:val="clear"/>
            <w:tcMar>
              <w:top w:type="dxa" w:w="100"/>
              <w:left w:type="dxa" w:w="140"/>
              <w:bottom w:type="dxa" w:w="100"/>
              <w:right w:type="dxa" w:w="140"/>
            </w:tcMar>
            <w:vAlign w:val="center"/>
          </w:tcPr>
          <w:p>
            <w:pPr>
              <w:spacing w:before="30" w:after="30"/>
              <w:jc w:val="center"/>
            </w:pPr>
            <w:r>
              <w:rPr>
                <w:rFonts w:ascii="Arial" w:cs="Arial" w:eastAsia="Arial" w:hAnsi="Arial"/>
                <w:b/>
                <w:bCs/>
                <w:color w:val="1B5E20"/>
                <w:sz w:val="19"/>
                <w:szCs w:val="19"/>
              </w:rPr>
              <w:t xml:space="preserve">+1</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555555"/>
                <w:sz w:val="18"/>
                <w:szCs w:val="18"/>
              </w:rPr>
              <w:t xml:space="preserve">C3</w:t>
            </w:r>
          </w:p>
        </w:tc>
        <w:tc>
          <w:tcPr>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pPr>
            <w:r>
              <w:rPr>
                <w:rFonts w:ascii="Arial" w:cs="Arial" w:eastAsia="Arial" w:hAnsi="Arial"/>
                <w:b/>
                <w:bCs/>
                <w:color w:val="1B5E20"/>
                <w:sz w:val="18"/>
                <w:szCs w:val="18"/>
              </w:rPr>
              <w:t xml:space="preserve">✔  </w:t>
            </w:r>
            <w:r>
              <w:rPr>
                <w:rFonts w:ascii="Arial" w:cs="Arial" w:eastAsia="Arial" w:hAnsi="Arial"/>
                <w:b/>
                <w:bCs/>
                <w:color w:val="2C3E50"/>
                <w:sz w:val="17"/>
                <w:szCs w:val="17"/>
              </w:rPr>
              <w:t xml:space="preserve">Precio cerca de soporte clave (pivote S/R)</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6"/>
                <w:szCs w:val="16"/>
              </w:rPr>
              <w:t xml:space="preserve">Distancia al soporte ≤ 1.5% del precio. Soporte = pivot left=10, right=10</w:t>
            </w:r>
          </w:p>
        </w:tc>
      </w:tr>
      <w:tr>
        <w:tc>
          <w:tcPr>
            <w:gridSpan w:val="1"/>
            <w:tcBorders>
              <w:top w:val="single" w:color="D0D5DD" w:sz="1"/>
              <w:left w:val="single" w:color="D0D5DD" w:sz="1"/>
              <w:bottom w:val="single" w:color="D0D5DD" w:sz="1"/>
              <w:right w:val="single" w:color="D0D5DD" w:sz="1"/>
            </w:tcBorders>
            <w:shd w:fill="F0FAF0" w:val="clear"/>
            <w:tcMar>
              <w:top w:type="dxa" w:w="100"/>
              <w:left w:type="dxa" w:w="140"/>
              <w:bottom w:type="dxa" w:w="100"/>
              <w:right w:type="dxa" w:w="140"/>
            </w:tcMar>
            <w:vAlign w:val="center"/>
          </w:tcPr>
          <w:p>
            <w:pPr>
              <w:spacing w:before="30" w:after="30"/>
              <w:jc w:val="center"/>
            </w:pPr>
            <w:r>
              <w:rPr>
                <w:rFonts w:ascii="Arial" w:cs="Arial" w:eastAsia="Arial" w:hAnsi="Arial"/>
                <w:b/>
                <w:bCs/>
                <w:color w:val="1B5E20"/>
                <w:sz w:val="19"/>
                <w:szCs w:val="19"/>
              </w:rPr>
              <w:t xml:space="preserve">+1</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555555"/>
                <w:sz w:val="18"/>
                <w:szCs w:val="18"/>
              </w:rPr>
              <w:t xml:space="preserve">C4</w:t>
            </w:r>
          </w:p>
        </w:tc>
        <w:tc>
          <w:tcPr>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pPr>
            <w:r>
              <w:rPr>
                <w:rFonts w:ascii="Arial" w:cs="Arial" w:eastAsia="Arial" w:hAnsi="Arial"/>
                <w:b/>
                <w:bCs/>
                <w:color w:val="1B5E20"/>
                <w:sz w:val="18"/>
                <w:szCs w:val="18"/>
              </w:rPr>
              <w:t xml:space="preserve">✔  </w:t>
            </w:r>
            <w:r>
              <w:rPr>
                <w:rFonts w:ascii="Arial" w:cs="Arial" w:eastAsia="Arial" w:hAnsi="Arial"/>
                <w:b/>
                <w:bCs/>
                <w:color w:val="2C3E50"/>
                <w:sz w:val="17"/>
                <w:szCs w:val="17"/>
              </w:rPr>
              <w:t xml:space="preserve">Toque de Banda de Bollinger inferior</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6"/>
                <w:szCs w:val="16"/>
              </w:rPr>
              <w:t xml:space="preserve">Cierre ≤ BB inferior  →  BB(20, 2.0σ). Zona de sobreextensión estadística</w:t>
            </w:r>
          </w:p>
        </w:tc>
      </w:tr>
      <w:tr>
        <w:tc>
          <w:tcPr>
            <w:gridSpan w:val="1"/>
            <w:tcBorders>
              <w:top w:val="single" w:color="D0D5DD" w:sz="1"/>
              <w:left w:val="single" w:color="D0D5DD" w:sz="1"/>
              <w:bottom w:val="single" w:color="D0D5DD" w:sz="1"/>
              <w:right w:val="single" w:color="D0D5DD" w:sz="1"/>
            </w:tcBorders>
            <w:shd w:fill="F0FAF0" w:val="clear"/>
            <w:tcMar>
              <w:top w:type="dxa" w:w="100"/>
              <w:left w:type="dxa" w:w="140"/>
              <w:bottom w:type="dxa" w:w="100"/>
              <w:right w:type="dxa" w:w="140"/>
            </w:tcMar>
            <w:vAlign w:val="center"/>
          </w:tcPr>
          <w:p>
            <w:pPr>
              <w:spacing w:before="30" w:after="30"/>
              <w:jc w:val="center"/>
            </w:pPr>
            <w:r>
              <w:rPr>
                <w:rFonts w:ascii="Arial" w:cs="Arial" w:eastAsia="Arial" w:hAnsi="Arial"/>
                <w:b/>
                <w:bCs/>
                <w:color w:val="1B5E20"/>
                <w:sz w:val="19"/>
                <w:szCs w:val="19"/>
              </w:rPr>
              <w:t xml:space="preserve">+1</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555555"/>
                <w:sz w:val="18"/>
                <w:szCs w:val="18"/>
              </w:rPr>
              <w:t xml:space="preserve">C5</w:t>
            </w:r>
          </w:p>
        </w:tc>
        <w:tc>
          <w:tcPr>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pPr>
            <w:r>
              <w:rPr>
                <w:rFonts w:ascii="Arial" w:cs="Arial" w:eastAsia="Arial" w:hAnsi="Arial"/>
                <w:b/>
                <w:bCs/>
                <w:color w:val="1B5E20"/>
                <w:sz w:val="18"/>
                <w:szCs w:val="18"/>
              </w:rPr>
              <w:t xml:space="preserve">✔  </w:t>
            </w:r>
            <w:r>
              <w:rPr>
                <w:rFonts w:ascii="Arial" w:cs="Arial" w:eastAsia="Arial" w:hAnsi="Arial"/>
                <w:b/>
                <w:bCs/>
                <w:color w:val="2C3E50"/>
                <w:sz w:val="17"/>
                <w:szCs w:val="17"/>
              </w:rPr>
              <w:t xml:space="preserve">Volumen por encima del promedio</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6"/>
                <w:szCs w:val="16"/>
              </w:rPr>
              <w:t xml:space="preserve">Volumen de la barra ≥ promedio 20 barras. Confirma interés comprador real</w:t>
            </w:r>
          </w:p>
        </w:tc>
      </w:tr>
      <w:tr>
        <w:tc>
          <w:tcPr>
            <w:gridSpan w:val="1"/>
            <w:tcBorders>
              <w:top w:val="single" w:color="D0D5DD" w:sz="1"/>
              <w:left w:val="single" w:color="D0D5DD" w:sz="1"/>
              <w:bottom w:val="single" w:color="D0D5DD" w:sz="1"/>
              <w:right w:val="single" w:color="D0D5DD" w:sz="1"/>
            </w:tcBorders>
            <w:shd w:fill="F0FAF0" w:val="clear"/>
            <w:tcMar>
              <w:top w:type="dxa" w:w="100"/>
              <w:left w:type="dxa" w:w="140"/>
              <w:bottom w:type="dxa" w:w="100"/>
              <w:right w:type="dxa" w:w="140"/>
            </w:tcMar>
            <w:vAlign w:val="center"/>
          </w:tcPr>
          <w:p>
            <w:pPr>
              <w:spacing w:before="30" w:after="30"/>
              <w:jc w:val="center"/>
            </w:pPr>
            <w:r>
              <w:rPr>
                <w:rFonts w:ascii="Arial" w:cs="Arial" w:eastAsia="Arial" w:hAnsi="Arial"/>
                <w:b/>
                <w:bCs/>
                <w:color w:val="1B5E20"/>
                <w:sz w:val="19"/>
                <w:szCs w:val="19"/>
              </w:rPr>
              <w:t xml:space="preserve">+1</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555555"/>
                <w:sz w:val="18"/>
                <w:szCs w:val="18"/>
              </w:rPr>
              <w:t xml:space="preserve">C6</w:t>
            </w:r>
          </w:p>
        </w:tc>
        <w:tc>
          <w:tcPr>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pPr>
            <w:r>
              <w:rPr>
                <w:rFonts w:ascii="Arial" w:cs="Arial" w:eastAsia="Arial" w:hAnsi="Arial"/>
                <w:b/>
                <w:bCs/>
                <w:color w:val="1B5E20"/>
                <w:sz w:val="18"/>
                <w:szCs w:val="18"/>
              </w:rPr>
              <w:t xml:space="preserve">✔  </w:t>
            </w:r>
            <w:r>
              <w:rPr>
                <w:rFonts w:ascii="Arial" w:cs="Arial" w:eastAsia="Arial" w:hAnsi="Arial"/>
                <w:b/>
                <w:bCs/>
                <w:color w:val="2C3E50"/>
                <w:sz w:val="17"/>
                <w:szCs w:val="17"/>
              </w:rPr>
              <w:t xml:space="preserve">Delta CVD positivo (compradores netos)</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6"/>
                <w:szCs w:val="16"/>
              </w:rPr>
              <w:t xml:space="preserve">Acumulación del Order Flow positiva en las últimas 3 barras</w:t>
            </w:r>
          </w:p>
        </w:tc>
      </w:tr>
      <w:tr>
        <w:tc>
          <w:tcPr>
            <w:gridSpan w:val="1"/>
            <w:tcBorders>
              <w:top w:val="single" w:color="D0D5DD" w:sz="1"/>
              <w:left w:val="single" w:color="D0D5DD" w:sz="1"/>
              <w:bottom w:val="single" w:color="D0D5DD" w:sz="1"/>
              <w:right w:val="single" w:color="D0D5DD" w:sz="1"/>
            </w:tcBorders>
            <w:shd w:fill="F0FAF0" w:val="clear"/>
            <w:tcMar>
              <w:top w:type="dxa" w:w="100"/>
              <w:left w:type="dxa" w:w="140"/>
              <w:bottom w:type="dxa" w:w="100"/>
              <w:right w:type="dxa" w:w="140"/>
            </w:tcMar>
            <w:vAlign w:val="center"/>
          </w:tcPr>
          <w:p>
            <w:pPr>
              <w:spacing w:before="30" w:after="30"/>
              <w:jc w:val="center"/>
            </w:pPr>
            <w:r>
              <w:rPr>
                <w:rFonts w:ascii="Arial" w:cs="Arial" w:eastAsia="Arial" w:hAnsi="Arial"/>
                <w:b/>
                <w:bCs/>
                <w:color w:val="1B5E20"/>
                <w:sz w:val="19"/>
                <w:szCs w:val="19"/>
              </w:rPr>
              <w:t xml:space="preserve">+1</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555555"/>
                <w:sz w:val="18"/>
                <w:szCs w:val="18"/>
              </w:rPr>
              <w:t xml:space="preserve">C7</w:t>
            </w:r>
          </w:p>
        </w:tc>
        <w:tc>
          <w:tcPr>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pPr>
            <w:r>
              <w:rPr>
                <w:rFonts w:ascii="Arial" w:cs="Arial" w:eastAsia="Arial" w:hAnsi="Arial"/>
                <w:b/>
                <w:bCs/>
                <w:color w:val="1B5E20"/>
                <w:sz w:val="18"/>
                <w:szCs w:val="18"/>
              </w:rPr>
              <w:t xml:space="preserve">✔  </w:t>
            </w:r>
            <w:r>
              <w:rPr>
                <w:rFonts w:ascii="Arial" w:cs="Arial" w:eastAsia="Arial" w:hAnsi="Arial"/>
                <w:b/>
                <w:bCs/>
                <w:color w:val="2C3E50"/>
                <w:sz w:val="17"/>
                <w:szCs w:val="17"/>
              </w:rPr>
              <w:t xml:space="preserve">SMA10 &gt; SMA20 (tendencia local incipiente)</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6"/>
                <w:szCs w:val="16"/>
              </w:rPr>
              <w:t xml:space="preserve">Recuperación de corto plazo ya iniciada. Aumenta la probabilidad de que el rebote continúe</w:t>
            </w:r>
          </w:p>
        </w:tc>
      </w:tr>
      <w:tr>
        <w:tc>
          <w:tcPr>
            <w:gridSpan w:val="1"/>
            <w:tcBorders>
              <w:top w:val="single" w:color="D0D5DD" w:sz="1"/>
              <w:left w:val="single" w:color="D0D5DD" w:sz="1"/>
              <w:bottom w:val="single" w:color="D0D5DD" w:sz="1"/>
              <w:right w:val="single" w:color="D0D5DD" w:sz="1"/>
            </w:tcBorders>
            <w:shd w:fill="F0FAF0" w:val="clear"/>
            <w:tcMar>
              <w:top w:type="dxa" w:w="100"/>
              <w:left w:type="dxa" w:w="140"/>
              <w:bottom w:type="dxa" w:w="100"/>
              <w:right w:type="dxa" w:w="140"/>
            </w:tcMar>
            <w:vAlign w:val="center"/>
          </w:tcPr>
          <w:p>
            <w:pPr>
              <w:spacing w:before="30" w:after="30"/>
              <w:jc w:val="center"/>
            </w:pPr>
            <w:r>
              <w:rPr>
                <w:rFonts w:ascii="Arial" w:cs="Arial" w:eastAsia="Arial" w:hAnsi="Arial"/>
                <w:b/>
                <w:bCs/>
                <w:color w:val="1B5E20"/>
                <w:sz w:val="19"/>
                <w:szCs w:val="19"/>
              </w:rPr>
              <w:t xml:space="preserve">+1</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555555"/>
                <w:sz w:val="18"/>
                <w:szCs w:val="18"/>
              </w:rPr>
              <w:t xml:space="preserve">C8</w:t>
            </w:r>
          </w:p>
        </w:tc>
        <w:tc>
          <w:tcPr>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pPr>
            <w:r>
              <w:rPr>
                <w:rFonts w:ascii="Arial" w:cs="Arial" w:eastAsia="Arial" w:hAnsi="Arial"/>
                <w:b/>
                <w:bCs/>
                <w:color w:val="1B5E20"/>
                <w:sz w:val="18"/>
                <w:szCs w:val="18"/>
              </w:rPr>
              <w:t xml:space="preserve">✔  </w:t>
            </w:r>
            <w:r>
              <w:rPr>
                <w:rFonts w:ascii="Arial" w:cs="Arial" w:eastAsia="Arial" w:hAnsi="Arial"/>
                <w:b/>
                <w:bCs/>
                <w:color w:val="2C3E50"/>
                <w:sz w:val="17"/>
                <w:szCs w:val="17"/>
              </w:rPr>
              <w:t xml:space="preserve">DXY bajando o en lateralización (dólar débil)</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6"/>
                <w:szCs w:val="16"/>
              </w:rPr>
              <w:t xml:space="preserve">El contexto macro favorece a activos de riesgo como BTC. Ideal: DXY &lt; SMA20(DXY)</w:t>
            </w:r>
          </w:p>
        </w:tc>
      </w:tr>
      <w:tr>
        <w:tc>
          <w:tcPr>
            <w:gridSpan w:val="1"/>
            <w:tcBorders>
              <w:top w:val="single" w:color="FFFFFF" w:sz="1"/>
              <w:left w:val="single" w:color="FFFFFF" w:sz="1"/>
              <w:bottom w:val="single" w:color="FFFFFF" w:sz="1"/>
              <w:right w:val="single" w:color="FFFFFF" w:sz="1"/>
            </w:tcBorders>
            <w:shd w:fill="E6A81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7"/>
                <w:szCs w:val="17"/>
              </w:rPr>
              <w:t xml:space="preserve">Máx 10</w:t>
            </w:r>
          </w:p>
        </w:tc>
        <w:tc>
          <w:tcPr>
            <w:gridSpan w:val="3"/>
            <w:tcBorders>
              <w:top w:val="single" w:color="FFFFFF" w:sz="1"/>
              <w:left w:val="single" w:color="FFFFFF" w:sz="1"/>
              <w:bottom w:val="single" w:color="FFFFFF" w:sz="1"/>
              <w:right w:val="single" w:color="FFFFFF" w:sz="1"/>
            </w:tcBorders>
            <w:shd w:fill="0F346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7"/>
                <w:szCs w:val="17"/>
              </w:rPr>
              <w:t xml:space="preserve">8 confirmaciones disponibles</w:t>
            </w:r>
          </w:p>
        </w:tc>
      </w:tr>
    </w:tbl>
    <w:p>
      <w:pPr>
        <w:spacing w:before="60" w:after="80"/>
      </w:pPr>
    </w:p>
    <w:p>
      <w:pPr>
        <w:spacing w:before="40" w:after="40"/>
      </w:pPr>
      <w:r>
        <w:rPr>
          <w:rFonts w:ascii="Arial" w:cs="Arial" w:eastAsia="Arial" w:hAnsi="Arial"/>
          <w:b/>
          <w:bCs/>
          <w:color w:val="0F3460"/>
          <w:sz w:val="18"/>
          <w:szCs w:val="18"/>
        </w:rPr>
        <w:t xml:space="preserve">Interpretación del score:  </w:t>
      </w:r>
      <w:r>
        <w:rPr>
          <w:rFonts w:ascii="Arial" w:cs="Arial" w:eastAsia="Arial" w:hAnsi="Arial"/>
          <w:b/>
          <w:bCs/>
          <w:color w:val="E67E22"/>
          <w:sz w:val="18"/>
          <w:szCs w:val="18"/>
        </w:rPr>
        <w:t xml:space="preserve">0–1 puntos </w:t>
      </w:r>
      <w:r>
        <w:rPr>
          <w:rFonts w:ascii="Arial" w:cs="Arial" w:eastAsia="Arial" w:hAnsi="Arial"/>
          <w:sz w:val="18"/>
          <w:szCs w:val="18"/>
        </w:rPr>
        <w:t xml:space="preserve">= señal mínima (operar con tamaño reducido al 50%)    </w:t>
      </w:r>
      <w:r>
        <w:rPr>
          <w:rFonts w:ascii="Arial" w:cs="Arial" w:eastAsia="Arial" w:hAnsi="Arial"/>
          <w:b/>
          <w:bCs/>
          <w:color w:val="E6A817"/>
          <w:sz w:val="18"/>
          <w:szCs w:val="18"/>
        </w:rPr>
        <w:t xml:space="preserve">2–3 puntos </w:t>
      </w:r>
      <w:r>
        <w:rPr>
          <w:rFonts w:ascii="Arial" w:cs="Arial" w:eastAsia="Arial" w:hAnsi="Arial"/>
          <w:sz w:val="18"/>
          <w:szCs w:val="18"/>
        </w:rPr>
        <w:t xml:space="preserve">= señal estándar    </w:t>
      </w:r>
      <w:r>
        <w:rPr>
          <w:rFonts w:ascii="Arial" w:cs="Arial" w:eastAsia="Arial" w:hAnsi="Arial"/>
          <w:b/>
          <w:bCs/>
          <w:color w:val="1B5E20"/>
          <w:sz w:val="18"/>
          <w:szCs w:val="18"/>
        </w:rPr>
        <w:t xml:space="preserve">≥4 puntos </w:t>
      </w:r>
      <w:r>
        <w:rPr>
          <w:rFonts w:ascii="Arial" w:cs="Arial" w:eastAsia="Arial" w:hAnsi="Arial"/>
          <w:sz w:val="18"/>
          <w:szCs w:val="18"/>
        </w:rPr>
        <w:t xml:space="preserve">= señal premium (tamaño completo o +50%)</w:t>
      </w:r>
    </w:p>
    <w:p>
      <w:pPr>
        <w:spacing w:before="240" w:after="160"/>
      </w:pPr>
    </w:p>
    <w:p>
      <w:r>
        <w:br w:type="page"/>
      </w:r>
    </w:p>
    <w:p>
      <w:pPr>
        <w:pStyle w:val="Heading1"/>
      </w:pPr>
      <w:r>
        <w:rPr>
          <w:rFonts w:ascii="Arial" w:cs="Arial" w:eastAsia="Arial" w:hAnsi="Arial"/>
          <w:b/>
          <w:bCs/>
          <w:color w:val="0F3460"/>
          <w:sz w:val="36"/>
          <w:szCs w:val="36"/>
        </w:rPr>
        <w:t xml:space="preserve">4.  Gestión de Riesgo y Sizing</w:t>
      </w:r>
    </w:p>
    <w:p>
      <w:pPr>
        <w:pBdr>
          <w:bottom w:val="single" w:color="0F3460" w:sz="8" w:space="1"/>
        </w:pBdr>
        <w:spacing w:before="0" w:after="0"/>
      </w:pPr>
    </w:p>
    <w:p>
      <w:pPr>
        <w:spacing w:before="8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c>
          <w:tcPr>
            <w:gridSpan w:val="1"/>
            <w:tcBorders>
              <w:top w:val="single" w:color="FFFFFF" w:sz="1"/>
              <w:left w:val="single" w:color="FFFFFF" w:sz="1"/>
              <w:bottom w:val="single" w:color="FFFFFF" w:sz="1"/>
              <w:right w:val="single" w:color="FFFFFF" w:sz="1"/>
            </w:tcBorders>
            <w:shd w:fill="16213E"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Parámetro</w:t>
            </w:r>
          </w:p>
        </w:tc>
        <w:tc>
          <w:tcPr>
            <w:gridSpan w:val="1"/>
            <w:tcBorders>
              <w:top w:val="single" w:color="FFFFFF" w:sz="1"/>
              <w:left w:val="single" w:color="FFFFFF" w:sz="1"/>
              <w:bottom w:val="single" w:color="FFFFFF" w:sz="1"/>
              <w:right w:val="single" w:color="FFFFFF" w:sz="1"/>
            </w:tcBorders>
            <w:shd w:fill="E6A817"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4H Spot (recomendado)</w:t>
            </w:r>
          </w:p>
        </w:tc>
        <w:tc>
          <w:tcPr>
            <w:gridSpan w:val="1"/>
            <w:tcBorders>
              <w:top w:val="single" w:color="FFFFFF" w:sz="1"/>
              <w:left w:val="single" w:color="FFFFFF" w:sz="1"/>
              <w:bottom w:val="single" w:color="FFFFFF" w:sz="1"/>
              <w:right w:val="single" w:color="FFFFFF" w:sz="1"/>
            </w:tcBorders>
            <w:shd w:fill="16A085"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1H Spot</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0F3460"/>
                <w:sz w:val="18"/>
                <w:szCs w:val="18"/>
              </w:rPr>
              <w:t xml:space="preserve">Stop Loss</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C0392B"/>
                <w:sz w:val="18"/>
                <w:szCs w:val="18"/>
              </w:rPr>
              <w:t xml:space="preserve">3.0% por debajo de entrada</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C0392B"/>
                <w:sz w:val="18"/>
                <w:szCs w:val="18"/>
              </w:rPr>
              <w:t xml:space="preserve">2.0% por debajo de entrada</w:t>
            </w:r>
          </w:p>
        </w:tc>
      </w:tr>
      <w:tr>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bCs/>
                <w:color w:val="0F3460"/>
                <w:sz w:val="18"/>
                <w:szCs w:val="18"/>
              </w:rPr>
              <w:t xml:space="preserve">Take Profit</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bCs/>
                <w:color w:val="1B5E20"/>
                <w:sz w:val="18"/>
                <w:szCs w:val="18"/>
              </w:rPr>
              <w:t xml:space="preserve">6.0% por encima de entrada</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bCs/>
                <w:color w:val="1B5E20"/>
                <w:sz w:val="18"/>
                <w:szCs w:val="18"/>
              </w:rPr>
              <w:t xml:space="preserve">4.0% por encima de entrada</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0F3460"/>
                <w:sz w:val="18"/>
                <w:szCs w:val="18"/>
              </w:rPr>
              <w:t xml:space="preserve">Relación Riesgo:Beneficio</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0F3460"/>
                <w:sz w:val="19"/>
                <w:szCs w:val="19"/>
              </w:rPr>
              <w:t xml:space="preserve">2 : 1</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0F3460"/>
                <w:sz w:val="19"/>
                <w:szCs w:val="19"/>
              </w:rPr>
              <w:t xml:space="preserve">2 : 1</w:t>
            </w:r>
          </w:p>
        </w:tc>
      </w:tr>
      <w:tr>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bCs/>
                <w:color w:val="0F3460"/>
                <w:sz w:val="18"/>
                <w:szCs w:val="18"/>
              </w:rPr>
              <w:t xml:space="preserve">Riesgo por trade</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333333"/>
                <w:sz w:val="18"/>
                <w:szCs w:val="18"/>
              </w:rPr>
              <w:t xml:space="preserve">1% del capital total</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333333"/>
                <w:sz w:val="18"/>
                <w:szCs w:val="18"/>
              </w:rPr>
              <w:t xml:space="preserve">1% del capital total</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0F3460"/>
                <w:sz w:val="18"/>
                <w:szCs w:val="18"/>
              </w:rPr>
              <w:t xml:space="preserve">Máx trades / día</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333333"/>
                <w:sz w:val="18"/>
                <w:szCs w:val="18"/>
              </w:rPr>
              <w:t xml:space="preserve">1 operación</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333333"/>
                <w:sz w:val="18"/>
                <w:szCs w:val="18"/>
              </w:rPr>
              <w:t xml:space="preserve">2 operaciones</w:t>
            </w:r>
          </w:p>
        </w:tc>
      </w:tr>
      <w:tr>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bCs/>
                <w:color w:val="0F3460"/>
                <w:sz w:val="18"/>
                <w:szCs w:val="18"/>
              </w:rPr>
              <w:t xml:space="preserve">Cooldown entre trades</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333333"/>
                <w:sz w:val="18"/>
                <w:szCs w:val="18"/>
              </w:rPr>
              <w:t xml:space="preserve">8 horas</w:t>
            </w:r>
          </w:p>
        </w:tc>
        <w:tc>
          <w:tcPr>
            <w:gridSpan w:val="1"/>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333333"/>
                <w:sz w:val="18"/>
                <w:szCs w:val="18"/>
              </w:rPr>
              <w:t xml:space="preserve">6 horas</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bCs/>
                <w:color w:val="0F3460"/>
                <w:sz w:val="18"/>
                <w:szCs w:val="18"/>
              </w:rPr>
              <w:t xml:space="preserve">Comisión estimada</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7"/>
                <w:szCs w:val="17"/>
              </w:rPr>
              <w:t xml:space="preserve">0.075% por lado (Binance Spot + BNB)</w:t>
            </w:r>
          </w:p>
        </w:tc>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555555"/>
                <w:sz w:val="17"/>
                <w:szCs w:val="17"/>
              </w:rPr>
              <w:t xml:space="preserve">0.075% por lado (Binance Spot + BNB)</w:t>
            </w:r>
          </w:p>
        </w:tc>
      </w:tr>
    </w:tbl>
    <w:p>
      <w:pPr>
        <w:spacing w:before="200" w:after="120"/>
      </w:pPr>
    </w:p>
    <w:p>
      <w:pPr>
        <w:pStyle w:val="Heading2"/>
      </w:pPr>
      <w:r>
        <w:rPr>
          <w:rFonts w:ascii="Arial" w:cs="Arial" w:eastAsia="Arial" w:hAnsi="Arial"/>
          <w:b/>
          <w:bCs/>
          <w:color w:val="16213E"/>
          <w:sz w:val="26"/>
          <w:szCs w:val="26"/>
        </w:rPr>
        <w:t xml:space="preserve">Fórmula de tamaño de posición</w:t>
      </w:r>
    </w:p>
    <w:p>
      <w:pPr>
        <w:spacing w:before="4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1"/>
            <w:tcBorders>
              <w:top w:val="single" w:color="FFFFFF" w:sz="1"/>
              <w:left w:val="single" w:color="FFFFFF" w:sz="1"/>
              <w:bottom w:val="single" w:color="FFFFFF" w:sz="1"/>
              <w:right w:val="single" w:color="FFFFFF" w:sz="1"/>
            </w:tcBorders>
            <w:shd w:fill="0F346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Cálculo</w:t>
            </w:r>
          </w:p>
        </w:tc>
        <w:tc>
          <w:tcPr>
            <w:gridSpan w:val="1"/>
            <w:tcBorders>
              <w:top w:val="single" w:color="FFFFFF" w:sz="1"/>
              <w:left w:val="single" w:color="FFFFFF" w:sz="1"/>
              <w:bottom w:val="single" w:color="FFFFFF" w:sz="1"/>
              <w:right w:val="single" w:color="FFFFFF" w:sz="1"/>
            </w:tcBorders>
            <w:shd w:fill="16213E"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Ejemplo práctico (4H, capital $1,000)</w:t>
            </w:r>
          </w:p>
        </w:tc>
      </w:tr>
      <w:tr>
        <w:tc>
          <w:tcPr>
            <w:tcBorders>
              <w:top w:val="single" w:color="D0D5DD" w:sz="1"/>
              <w:left w:val="single" w:color="D0D5DD" w:sz="1"/>
              <w:bottom w:val="single" w:color="D0D5DD" w:sz="1"/>
              <w:right w:val="single" w:color="D0D5DD" w:sz="1"/>
            </w:tcBorders>
            <w:shd w:fill="F0F4FF" w:val="clear"/>
            <w:tcMar>
              <w:top w:type="dxa" w:w="100"/>
              <w:left w:type="dxa" w:w="140"/>
              <w:bottom w:type="dxa" w:w="100"/>
              <w:right w:type="dxa" w:w="140"/>
            </w:tcMar>
          </w:tcPr>
          <w:p>
            <w:pPr>
              <w:spacing w:before="30" w:after="10"/>
            </w:pPr>
            <w:r>
              <w:rPr>
                <w:rFonts w:ascii="Courier New" w:cs="Courier New" w:eastAsia="Courier New" w:hAnsi="Courier New"/>
                <w:b/>
                <w:bCs/>
                <w:color w:val="0F3460"/>
                <w:sz w:val="18"/>
                <w:szCs w:val="18"/>
              </w:rPr>
              <w:t xml:space="preserve">Riesgo en USD = Capital × 1%</w:t>
            </w:r>
          </w:p>
          <w:p>
            <w:pPr>
              <w:spacing w:before="6" w:after="10"/>
            </w:pPr>
            <w:r>
              <w:rPr>
                <w:rFonts w:ascii="Courier New" w:cs="Courier New" w:eastAsia="Courier New" w:hAnsi="Courier New"/>
                <w:b/>
                <w:bCs/>
                <w:color w:val="0F3460"/>
                <w:sz w:val="18"/>
                <w:szCs w:val="18"/>
              </w:rPr>
              <w:t xml:space="preserve">Distancia SL = Precio entrada × SL%</w:t>
            </w:r>
          </w:p>
          <w:p>
            <w:pPr>
              <w:spacing w:before="6" w:after="30"/>
            </w:pPr>
            <w:r>
              <w:rPr>
                <w:rFonts w:ascii="Courier New" w:cs="Courier New" w:eastAsia="Courier New" w:hAnsi="Courier New"/>
                <w:b/>
                <w:bCs/>
                <w:color w:val="E6A817"/>
                <w:sz w:val="18"/>
                <w:szCs w:val="18"/>
              </w:rPr>
              <w:t xml:space="preserve">Qty BTC = Riesgo USD / Distancia SL</w:t>
            </w:r>
          </w:p>
        </w:tc>
        <w:tc>
          <w:tcPr>
            <w:tcBorders>
              <w:top w:val="single" w:color="D0D5DD" w:sz="1"/>
              <w:left w:val="single" w:color="D0D5DD" w:sz="1"/>
              <w:bottom w:val="single" w:color="D0D5DD" w:sz="1"/>
              <w:right w:val="single" w:color="D0D5DD" w:sz="1"/>
            </w:tcBorders>
            <w:shd w:fill="F8FAF0" w:val="clear"/>
            <w:tcMar>
              <w:top w:type="dxa" w:w="100"/>
              <w:left w:type="dxa" w:w="140"/>
              <w:bottom w:type="dxa" w:w="100"/>
              <w:right w:type="dxa" w:w="140"/>
            </w:tcMar>
          </w:tcPr>
          <w:p>
            <w:pPr>
              <w:spacing w:before="30" w:after="10"/>
            </w:pPr>
            <w:r>
              <w:rPr>
                <w:rFonts w:ascii="Arial" w:cs="Arial" w:eastAsia="Arial" w:hAnsi="Arial"/>
                <w:color w:val="333333"/>
                <w:sz w:val="18"/>
                <w:szCs w:val="18"/>
              </w:rPr>
              <w:t xml:space="preserve">Capital = $1,000  →  Riesgo = $10</w:t>
            </w:r>
          </w:p>
          <w:p>
            <w:pPr>
              <w:spacing w:before="6" w:after="10"/>
            </w:pPr>
            <w:r>
              <w:rPr>
                <w:rFonts w:ascii="Arial" w:cs="Arial" w:eastAsia="Arial" w:hAnsi="Arial"/>
                <w:color w:val="333333"/>
                <w:sz w:val="18"/>
                <w:szCs w:val="18"/>
              </w:rPr>
              <w:t xml:space="preserve">Precio BTC = $85,000  →  SL = $85,000 × 3% = $2,550</w:t>
            </w:r>
          </w:p>
          <w:p>
            <w:pPr>
              <w:spacing w:before="6" w:after="10"/>
            </w:pPr>
            <w:r>
              <w:rPr>
                <w:rFonts w:ascii="Arial" w:cs="Arial" w:eastAsia="Arial" w:hAnsi="Arial"/>
                <w:b/>
                <w:bCs/>
                <w:color w:val="1B5E20"/>
                <w:sz w:val="18"/>
                <w:szCs w:val="18"/>
              </w:rPr>
              <w:t xml:space="preserve">Qty = $10 / $2,550 = 0.00392 BTC</w:t>
            </w:r>
          </w:p>
          <w:p>
            <w:pPr>
              <w:spacing w:before="6" w:after="30"/>
            </w:pPr>
            <w:r>
              <w:rPr>
                <w:rFonts w:ascii="Arial" w:cs="Arial" w:eastAsia="Arial" w:hAnsi="Arial"/>
                <w:color w:val="666666"/>
                <w:sz w:val="17"/>
                <w:szCs w:val="17"/>
              </w:rPr>
              <w:t xml:space="preserve">Valor posición = 0.00392 × $85,000 = $333 (33% del capital)</w:t>
            </w:r>
          </w:p>
        </w:tc>
      </w:tr>
    </w:tbl>
    <w:p>
      <w:pPr>
        <w:spacing w:before="80" w:after="80"/>
      </w:pPr>
    </w:p>
    <w:p>
      <w:pPr>
        <w:spacing w:before="40" w:after="40"/>
      </w:pPr>
      <w:r>
        <w:rPr>
          <w:rFonts w:ascii="Arial" w:cs="Arial" w:eastAsia="Arial" w:hAnsi="Arial"/>
          <w:b/>
          <w:bCs/>
          <w:color w:val="E67E22"/>
          <w:sz w:val="20"/>
          <w:szCs w:val="20"/>
        </w:rPr>
        <w:t xml:space="preserve">⚠ </w:t>
      </w:r>
      <w:r>
        <w:rPr>
          <w:rFonts w:ascii="Arial" w:cs="Arial" w:eastAsia="Arial" w:hAnsi="Arial"/>
          <w:color w:val="E67E22"/>
          <w:sz w:val="18"/>
          <w:szCs w:val="18"/>
        </w:rPr>
        <w:t xml:space="preserve">En spot, el valor de la posición (qty × precio) no puede superar el 98% del capital disponible. Si el cálculo da una posición mayor, reducir qty proporcionalmente.</w:t>
      </w:r>
    </w:p>
    <w:p>
      <w:pPr>
        <w:spacing w:before="240" w:after="160"/>
      </w:pPr>
    </w:p>
    <w:p>
      <w:pPr>
        <w:pStyle w:val="Heading1"/>
      </w:pPr>
      <w:r>
        <w:rPr>
          <w:rFonts w:ascii="Arial" w:cs="Arial" w:eastAsia="Arial" w:hAnsi="Arial"/>
          <w:b/>
          <w:bCs/>
          <w:color w:val="0F3460"/>
          <w:sz w:val="36"/>
          <w:szCs w:val="36"/>
        </w:rPr>
        <w:t xml:space="preserve">5.  Condiciones de Salida</w:t>
      </w:r>
    </w:p>
    <w:p>
      <w:pPr>
        <w:pBdr>
          <w:bottom w:val="single" w:color="E67E22" w:sz="8" w:space="1"/>
        </w:pBdr>
        <w:spacing w:before="0" w:after="0"/>
      </w:pPr>
    </w:p>
    <w:p>
      <w:pPr>
        <w:spacing w:before="6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4560"/>
        <w:gridCol w:w="4960"/>
      </w:tblGrid>
      <w:tr>
        <w:tc>
          <w:tcPr>
            <w:gridSpan w:val="1"/>
            <w:tcBorders>
              <w:top w:val="single" w:color="FFFFFF" w:sz="1"/>
              <w:left w:val="single" w:color="FFFFFF" w:sz="1"/>
              <w:bottom w:val="single" w:color="FFFFFF" w:sz="1"/>
              <w:right w:val="single" w:color="FFFFFF" w:sz="1"/>
            </w:tcBorders>
            <w:shd w:fill="16213E"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
            </w:r>
          </w:p>
        </w:tc>
        <w:tc>
          <w:tcPr>
            <w:gridSpan w:val="1"/>
            <w:tcBorders>
              <w:top w:val="single" w:color="FFFFFF" w:sz="1"/>
              <w:left w:val="single" w:color="FFFFFF" w:sz="1"/>
              <w:bottom w:val="single" w:color="FFFFFF" w:sz="1"/>
              <w:right w:val="single" w:color="FFFFFF" w:sz="1"/>
            </w:tcBorders>
            <w:shd w:fill="16213E"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Condición de salida</w:t>
            </w:r>
          </w:p>
        </w:tc>
        <w:tc>
          <w:tcPr>
            <w:gridSpan w:val="1"/>
            <w:tcBorders>
              <w:top w:val="single" w:color="FFFFFF" w:sz="1"/>
              <w:left w:val="single" w:color="FFFFFF" w:sz="1"/>
              <w:bottom w:val="single" w:color="FFFFFF" w:sz="1"/>
              <w:right w:val="single" w:color="FFFFFF" w:sz="1"/>
            </w:tcBorders>
            <w:shd w:fill="16213E"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Acción</w:t>
            </w:r>
          </w:p>
        </w:tc>
      </w:tr>
      <w:tr>
        <w:tc>
          <w:tcPr>
            <w:gridSpan w:val="1"/>
            <w:tcBorders>
              <w:top w:val="single" w:color="D0D5DD" w:sz="1"/>
              <w:left w:val="single" w:color="D0D5DD" w:sz="1"/>
              <w:bottom w:val="single" w:color="D0D5DD" w:sz="1"/>
              <w:right w:val="single" w:color="D0D5DD" w:sz="1"/>
            </w:tcBorders>
            <w:shd w:fill="E8F5E9" w:val="clear"/>
            <w:tcMar>
              <w:top w:type="dxa" w:w="100"/>
              <w:left w:type="dxa" w:w="140"/>
              <w:bottom w:type="dxa" w:w="100"/>
              <w:right w:type="dxa" w:w="140"/>
            </w:tcMar>
            <w:vAlign w:val="center"/>
          </w:tcPr>
          <w:p>
            <w:pPr>
              <w:spacing w:before="30" w:after="30"/>
              <w:jc w:val="center"/>
            </w:pPr>
            <w:r>
              <w:rPr>
                <w:rFonts w:ascii="Arial" w:cs="Arial" w:eastAsia="Arial" w:hAnsi="Arial"/>
                <w:b/>
                <w:bCs/>
                <w:color w:val="1B5E20"/>
                <w:sz w:val="20"/>
                <w:szCs w:val="20"/>
              </w:rPr>
              <w:t xml:space="preserve">S1</w:t>
            </w:r>
          </w:p>
        </w:tc>
        <w:tc>
          <w:tcPr>
            <w:tcBorders>
              <w:top w:val="single" w:color="D0D5DD" w:sz="1"/>
              <w:left w:val="single" w:color="D0D5DD" w:sz="1"/>
              <w:bottom w:val="single" w:color="D0D5DD" w:sz="1"/>
              <w:right w:val="single" w:color="D0D5DD" w:sz="1"/>
            </w:tcBorders>
            <w:shd w:fill="E8F5E9" w:val="clear"/>
            <w:tcMar>
              <w:top w:type="dxa" w:w="100"/>
              <w:left w:type="dxa" w:w="140"/>
              <w:bottom w:type="dxa" w:w="100"/>
              <w:right w:type="dxa" w:w="140"/>
            </w:tcMar>
            <w:vAlign w:val="center"/>
          </w:tcPr>
          <w:p>
            <w:pPr>
              <w:spacing w:before="30" w:after="30"/>
            </w:pPr>
            <w:r>
              <w:rPr>
                <w:rFonts w:ascii="Arial" w:cs="Arial" w:eastAsia="Arial" w:hAnsi="Arial"/>
                <w:b/>
                <w:bCs/>
                <w:color w:val="1B5E20"/>
                <w:sz w:val="18"/>
                <w:szCs w:val="18"/>
              </w:rPr>
              <w:t xml:space="preserve">⬆  </w:t>
            </w:r>
            <w:r>
              <w:rPr>
                <w:rFonts w:ascii="Arial" w:cs="Arial" w:eastAsia="Arial" w:hAnsi="Arial"/>
                <w:b/>
                <w:bCs/>
                <w:color w:val="2C3E50"/>
                <w:sz w:val="17"/>
                <w:szCs w:val="17"/>
              </w:rPr>
              <w:t xml:space="preserve">Take Profit alcanzado (precio sube +6% en 4H / +4% en 1H)</w:t>
            </w:r>
          </w:p>
        </w:tc>
        <w:tc>
          <w:tcPr>
            <w:gridSpan w:val="1"/>
            <w:tcBorders>
              <w:top w:val="single" w:color="D0D5DD" w:sz="1"/>
              <w:left w:val="single" w:color="D0D5DD" w:sz="1"/>
              <w:bottom w:val="single" w:color="D0D5DD" w:sz="1"/>
              <w:right w:val="single" w:color="D0D5DD" w:sz="1"/>
            </w:tcBorders>
            <w:shd w:fill="F0FAF0"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333333"/>
                <w:sz w:val="17"/>
                <w:szCs w:val="17"/>
              </w:rPr>
              <w:t xml:space="preserve">Vender 100% de la posición. Trade cerrado exitosamente</w:t>
            </w:r>
          </w:p>
        </w:tc>
      </w:tr>
      <w:tr>
        <w:tc>
          <w:tcPr>
            <w:gridSpan w:val="1"/>
            <w:tcBorders>
              <w:top w:val="single" w:color="D0D5DD" w:sz="1"/>
              <w:left w:val="single" w:color="D0D5DD" w:sz="1"/>
              <w:bottom w:val="single" w:color="D0D5DD" w:sz="1"/>
              <w:right w:val="single" w:color="D0D5DD" w:sz="1"/>
            </w:tcBorders>
            <w:shd w:fill="FDECEA" w:val="clear"/>
            <w:tcMar>
              <w:top w:type="dxa" w:w="100"/>
              <w:left w:type="dxa" w:w="140"/>
              <w:bottom w:type="dxa" w:w="100"/>
              <w:right w:type="dxa" w:w="140"/>
            </w:tcMar>
            <w:vAlign w:val="center"/>
          </w:tcPr>
          <w:p>
            <w:pPr>
              <w:spacing w:before="30" w:after="30"/>
              <w:jc w:val="center"/>
            </w:pPr>
            <w:r>
              <w:rPr>
                <w:rFonts w:ascii="Arial" w:cs="Arial" w:eastAsia="Arial" w:hAnsi="Arial"/>
                <w:b/>
                <w:bCs/>
                <w:color w:val="C0392B"/>
                <w:sz w:val="20"/>
                <w:szCs w:val="20"/>
              </w:rPr>
              <w:t xml:space="preserve">S2</w:t>
            </w:r>
          </w:p>
        </w:tc>
        <w:tc>
          <w:tcPr>
            <w:tcBorders>
              <w:top w:val="single" w:color="D0D5DD" w:sz="1"/>
              <w:left w:val="single" w:color="D0D5DD" w:sz="1"/>
              <w:bottom w:val="single" w:color="D0D5DD" w:sz="1"/>
              <w:right w:val="single" w:color="D0D5DD" w:sz="1"/>
            </w:tcBorders>
            <w:shd w:fill="FDECEA" w:val="clear"/>
            <w:tcMar>
              <w:top w:type="dxa" w:w="100"/>
              <w:left w:type="dxa" w:w="140"/>
              <w:bottom w:type="dxa" w:w="100"/>
              <w:right w:type="dxa" w:w="140"/>
            </w:tcMar>
            <w:vAlign w:val="center"/>
          </w:tcPr>
          <w:p>
            <w:pPr>
              <w:spacing w:before="30" w:after="30"/>
            </w:pPr>
            <w:r>
              <w:rPr>
                <w:rFonts w:ascii="Arial" w:cs="Arial" w:eastAsia="Arial" w:hAnsi="Arial"/>
                <w:b/>
                <w:bCs/>
                <w:color w:val="C0392B"/>
                <w:sz w:val="18"/>
                <w:szCs w:val="18"/>
              </w:rPr>
              <w:t xml:space="preserve">⬇  </w:t>
            </w:r>
            <w:r>
              <w:rPr>
                <w:rFonts w:ascii="Arial" w:cs="Arial" w:eastAsia="Arial" w:hAnsi="Arial"/>
                <w:b/>
                <w:bCs/>
                <w:color w:val="2C3E50"/>
                <w:sz w:val="17"/>
                <w:szCs w:val="17"/>
              </w:rPr>
              <w:t xml:space="preserve">Stop Loss alcanzado (precio baja -3% en 4H / -2% en 1H)</w:t>
            </w:r>
          </w:p>
        </w:tc>
        <w:tc>
          <w:tcPr>
            <w:gridSpan w:val="1"/>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333333"/>
                <w:sz w:val="17"/>
                <w:szCs w:val="17"/>
              </w:rPr>
              <w:t xml:space="preserve">Vender 100% de la posición. Aceptar la pérdida controlada</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E67E22"/>
                <w:sz w:val="20"/>
                <w:szCs w:val="20"/>
              </w:rPr>
              <w:t xml:space="preserve">S3</w:t>
            </w:r>
          </w:p>
        </w:tc>
        <w:tc>
          <w:tcPr>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pPr>
            <w:r>
              <w:rPr>
                <w:rFonts w:ascii="Arial" w:cs="Arial" w:eastAsia="Arial" w:hAnsi="Arial"/>
                <w:b/>
                <w:bCs/>
                <w:color w:val="E67E22"/>
                <w:sz w:val="18"/>
                <w:szCs w:val="18"/>
              </w:rPr>
              <w:t xml:space="preserve">⚠  </w:t>
            </w:r>
            <w:r>
              <w:rPr>
                <w:rFonts w:ascii="Arial" w:cs="Arial" w:eastAsia="Arial" w:hAnsi="Arial"/>
                <w:b/>
                <w:bCs/>
                <w:color w:val="2C3E50"/>
                <w:sz w:val="17"/>
                <w:szCs w:val="17"/>
              </w:rPr>
              <w:t xml:space="preserve">Evento macro imprevisto con posición abierta (bomba / dump)</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333333"/>
                <w:sz w:val="17"/>
                <w:szCs w:val="17"/>
              </w:rPr>
              <w:t xml:space="preserve">Cierre manual inmediato si el precio rompe el SL antes de la próxima barra o si el volumen es 5× el promedio</w:t>
            </w:r>
          </w:p>
        </w:tc>
      </w:tr>
      <w:tr>
        <w:tc>
          <w:tcPr>
            <w:gridSpan w:val="1"/>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vAlign w:val="center"/>
          </w:tcPr>
          <w:p>
            <w:pPr>
              <w:spacing w:before="30" w:after="30"/>
              <w:jc w:val="center"/>
            </w:pPr>
            <w:r>
              <w:rPr>
                <w:rFonts w:ascii="Arial" w:cs="Arial" w:eastAsia="Arial" w:hAnsi="Arial"/>
                <w:b/>
                <w:bCs/>
                <w:color w:val="E67E22"/>
                <w:sz w:val="20"/>
                <w:szCs w:val="20"/>
              </w:rPr>
              <w:t xml:space="preserve">S4</w:t>
            </w:r>
          </w:p>
        </w:tc>
        <w:tc>
          <w:tcPr>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vAlign w:val="center"/>
          </w:tcPr>
          <w:p>
            <w:pPr>
              <w:spacing w:before="30" w:after="30"/>
            </w:pPr>
            <w:r>
              <w:rPr>
                <w:rFonts w:ascii="Arial" w:cs="Arial" w:eastAsia="Arial" w:hAnsi="Arial"/>
                <w:b/>
                <w:bCs/>
                <w:color w:val="E67E22"/>
                <w:sz w:val="18"/>
                <w:szCs w:val="18"/>
              </w:rPr>
              <w:t xml:space="preserve">⏱  </w:t>
            </w:r>
            <w:r>
              <w:rPr>
                <w:rFonts w:ascii="Arial" w:cs="Arial" w:eastAsia="Arial" w:hAnsi="Arial"/>
                <w:b/>
                <w:bCs/>
                <w:color w:val="2C3E50"/>
                <w:sz w:val="17"/>
                <w:szCs w:val="17"/>
              </w:rPr>
              <w:t xml:space="preserve">Posición abierta &gt; 10 días sin alcanzar TP ni SL</w:t>
            </w:r>
          </w:p>
        </w:tc>
        <w:tc>
          <w:tcPr>
            <w:gridSpan w:val="1"/>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333333"/>
                <w:sz w:val="17"/>
                <w:szCs w:val="17"/>
              </w:rPr>
              <w:t xml:space="preserve">Cierre manual discrecional. El mercado no está siguiendo la tesis de reversión</w:t>
            </w:r>
          </w:p>
        </w:tc>
      </w:tr>
    </w:tbl>
    <w:p>
      <w:pPr>
        <w:spacing w:before="240" w:after="160"/>
      </w:pPr>
    </w:p>
    <w:p>
      <w:pPr>
        <w:pStyle w:val="Heading1"/>
      </w:pPr>
      <w:r>
        <w:rPr>
          <w:rFonts w:ascii="Arial" w:cs="Arial" w:eastAsia="Arial" w:hAnsi="Arial"/>
          <w:b/>
          <w:bCs/>
          <w:color w:val="0F3460"/>
          <w:sz w:val="36"/>
          <w:szCs w:val="36"/>
        </w:rPr>
        <w:t xml:space="preserve">6.  Checklist Antes de Cada Entrada</w:t>
      </w:r>
    </w:p>
    <w:p>
      <w:pPr>
        <w:pBdr>
          <w:bottom w:val="single" w:color="0F3460" w:sz="8" w:space="1"/>
        </w:pBdr>
        <w:spacing w:before="0" w:after="0"/>
      </w:pPr>
    </w:p>
    <w:p>
      <w:pPr>
        <w:spacing w:before="60" w:after="80"/>
      </w:pPr>
    </w:p>
    <w:p>
      <w:pPr>
        <w:spacing w:before="40" w:after="80"/>
      </w:pPr>
      <w:r>
        <w:rPr>
          <w:rFonts w:ascii="Arial" w:cs="Arial" w:eastAsia="Arial" w:hAnsi="Arial"/>
          <w:i/>
          <w:iCs/>
          <w:color w:val="555555"/>
          <w:sz w:val="19"/>
          <w:szCs w:val="19"/>
        </w:rPr>
        <w:t xml:space="preserve">Verificar en orden. La respuesta a todas las preguntas debe ser SÍ antes de abrir la posición.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7040"/>
        <w:gridCol w:w="2400"/>
      </w:tblGrid>
      <w:tr>
        <w:tc>
          <w:tcPr>
            <w:gridSpan w:val="1"/>
            <w:tcBorders>
              <w:top w:val="single" w:color="FFFFFF" w:sz="1"/>
              <w:left w:val="single" w:color="FFFFFF" w:sz="1"/>
              <w:bottom w:val="single" w:color="FFFFFF" w:sz="1"/>
              <w:right w:val="single" w:color="FFFFFF" w:sz="1"/>
            </w:tcBorders>
            <w:shd w:fill="0F346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w:t>
            </w:r>
          </w:p>
        </w:tc>
        <w:tc>
          <w:tcPr>
            <w:gridSpan w:val="1"/>
            <w:tcBorders>
              <w:top w:val="single" w:color="FFFFFF" w:sz="1"/>
              <w:left w:val="single" w:color="FFFFFF" w:sz="1"/>
              <w:bottom w:val="single" w:color="FFFFFF" w:sz="1"/>
              <w:right w:val="single" w:color="FFFFFF" w:sz="1"/>
            </w:tcBorders>
            <w:shd w:fill="0F346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Pregunta</w:t>
            </w:r>
          </w:p>
        </w:tc>
        <w:tc>
          <w:tcPr>
            <w:gridSpan w:val="1"/>
            <w:tcBorders>
              <w:top w:val="single" w:color="FFFFFF" w:sz="1"/>
              <w:left w:val="single" w:color="FFFFFF" w:sz="1"/>
              <w:bottom w:val="single" w:color="FFFFFF" w:sz="1"/>
              <w:right w:val="single" w:color="FFFFFF" w:sz="1"/>
            </w:tcBorders>
            <w:shd w:fill="0F3460" w:val="clear"/>
            <w:tcMar>
              <w:top w:type="dxa" w:w="100"/>
              <w:left w:type="dxa" w:w="140"/>
              <w:bottom w:type="dxa" w:w="100"/>
              <w:right w:type="dxa" w:w="140"/>
            </w:tcMar>
            <w:vAlign w:val="center"/>
          </w:tcPr>
          <w:p>
            <w:pPr>
              <w:spacing w:before="40" w:after="40"/>
              <w:jc w:val="center"/>
            </w:pPr>
            <w:r>
              <w:rPr>
                <w:rFonts w:ascii="Arial" w:cs="Arial" w:eastAsia="Arial" w:hAnsi="Arial"/>
                <w:b/>
                <w:bCs/>
                <w:color w:val="FFFFFF"/>
                <w:sz w:val="18"/>
                <w:szCs w:val="18"/>
              </w:rPr>
              <w:t xml:space="preserve">Verificar en</w:t>
            </w:r>
          </w:p>
        </w:tc>
      </w:tr>
      <w:tr>
        <w:tc>
          <w:tcPr>
            <w:gridSpan w:val="1"/>
            <w:tcBorders>
              <w:top w:val="single" w:color="D0D5DD" w:sz="1"/>
              <w:left w:val="single" w:color="D0D5DD" w:sz="1"/>
              <w:bottom w:val="single" w:color="D0D5DD" w:sz="1"/>
              <w:right w:val="single" w:color="D0D5DD" w:sz="1"/>
            </w:tcBorders>
            <w:shd w:fill="E8F0FF" w:val="clear"/>
            <w:tcMar>
              <w:top w:type="dxa" w:w="100"/>
              <w:left w:type="dxa" w:w="140"/>
              <w:bottom w:type="dxa" w:w="100"/>
              <w:right w:type="dxa" w:w="140"/>
            </w:tcMar>
            <w:vAlign w:val="center"/>
          </w:tcPr>
          <w:p>
            <w:pPr>
              <w:spacing w:before="30" w:after="30"/>
              <w:jc w:val="center"/>
            </w:pPr>
            <w:r>
              <w:rPr>
                <w:rFonts w:ascii="Arial" w:cs="Arial" w:eastAsia="Arial" w:hAnsi="Arial"/>
                <w:b/>
                <w:bCs/>
                <w:color w:val="0F3460"/>
                <w:sz w:val="18"/>
                <w:szCs w:val="18"/>
              </w:rPr>
              <w:t xml:space="preserve">□ 1</w:t>
            </w:r>
          </w:p>
        </w:tc>
        <w:tc>
          <w:tcPr>
            <w:gridSpan w:val="1"/>
            <w:tcBorders>
              <w:top w:val="single" w:color="D0D5DD" w:sz="1"/>
              <w:left w:val="single" w:color="D0D5DD" w:sz="1"/>
              <w:bottom w:val="single" w:color="D0D5DD" w:sz="1"/>
              <w:right w:val="single" w:color="D0D5DD" w:sz="1"/>
            </w:tcBorders>
            <w:shd w:fill="EDF2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2C3E50"/>
                <w:sz w:val="18"/>
                <w:szCs w:val="18"/>
              </w:rPr>
              <w:t xml:space="preserve">¿El lrc_pct del cierre de vela es ≤ 25%?</w:t>
            </w:r>
          </w:p>
        </w:tc>
        <w:tc>
          <w:tcPr>
            <w:gridSpan w:val="1"/>
            <w:tcBorders>
              <w:top w:val="single" w:color="D0D5DD" w:sz="1"/>
              <w:left w:val="single" w:color="D0D5DD" w:sz="1"/>
              <w:bottom w:val="single" w:color="D0D5DD" w:sz="1"/>
              <w:right w:val="single" w:color="D0D5DD" w:sz="1"/>
            </w:tcBorders>
            <w:shd w:fill="EDF2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Indicador LRC en chart</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0F3460"/>
                <w:sz w:val="18"/>
                <w:szCs w:val="18"/>
              </w:rPr>
              <w:t xml:space="preserve">□ 2</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2C3E50"/>
                <w:sz w:val="18"/>
                <w:szCs w:val="18"/>
              </w:rPr>
              <w:t xml:space="preserve">¿NO hay noticia macro en los próximos 30 minutos?</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Calendario Forex Factory / TradingView</w:t>
            </w:r>
          </w:p>
        </w:tc>
      </w:tr>
      <w:tr>
        <w:tc>
          <w:tcPr>
            <w:gridSpan w:val="1"/>
            <w:tcBorders>
              <w:top w:val="single" w:color="D0D5DD" w:sz="1"/>
              <w:left w:val="single" w:color="D0D5DD" w:sz="1"/>
              <w:bottom w:val="single" w:color="D0D5DD" w:sz="1"/>
              <w:right w:val="single" w:color="D0D5DD" w:sz="1"/>
            </w:tcBorders>
            <w:shd w:fill="E8F0FF" w:val="clear"/>
            <w:tcMar>
              <w:top w:type="dxa" w:w="100"/>
              <w:left w:type="dxa" w:w="140"/>
              <w:bottom w:type="dxa" w:w="100"/>
              <w:right w:type="dxa" w:w="140"/>
            </w:tcMar>
            <w:vAlign w:val="center"/>
          </w:tcPr>
          <w:p>
            <w:pPr>
              <w:spacing w:before="30" w:after="30"/>
              <w:jc w:val="center"/>
            </w:pPr>
            <w:r>
              <w:rPr>
                <w:rFonts w:ascii="Arial" w:cs="Arial" w:eastAsia="Arial" w:hAnsi="Arial"/>
                <w:b/>
                <w:bCs/>
                <w:color w:val="0F3460"/>
                <w:sz w:val="18"/>
                <w:szCs w:val="18"/>
              </w:rPr>
              <w:t xml:space="preserve">□ 3</w:t>
            </w:r>
          </w:p>
        </w:tc>
        <w:tc>
          <w:tcPr>
            <w:gridSpan w:val="1"/>
            <w:tcBorders>
              <w:top w:val="single" w:color="D0D5DD" w:sz="1"/>
              <w:left w:val="single" w:color="D0D5DD" w:sz="1"/>
              <w:bottom w:val="single" w:color="D0D5DD" w:sz="1"/>
              <w:right w:val="single" w:color="D0D5DD" w:sz="1"/>
            </w:tcBorders>
            <w:shd w:fill="EDF2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2C3E50"/>
                <w:sz w:val="18"/>
                <w:szCs w:val="18"/>
              </w:rPr>
              <w:t xml:space="preserve">¿La última vela NO es un Bullish Engulfing?</w:t>
            </w:r>
          </w:p>
        </w:tc>
        <w:tc>
          <w:tcPr>
            <w:gridSpan w:val="1"/>
            <w:tcBorders>
              <w:top w:val="single" w:color="D0D5DD" w:sz="1"/>
              <w:left w:val="single" w:color="D0D5DD" w:sz="1"/>
              <w:bottom w:val="single" w:color="D0D5DD" w:sz="1"/>
              <w:right w:val="single" w:color="D0D5DD" w:sz="1"/>
            </w:tcBorders>
            <w:shd w:fill="EDF2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Chart de velas</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0F3460"/>
                <w:sz w:val="18"/>
                <w:szCs w:val="18"/>
              </w:rPr>
              <w:t xml:space="preserve">□ 4</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2C3E50"/>
                <w:sz w:val="18"/>
                <w:szCs w:val="18"/>
              </w:rPr>
              <w:t xml:space="preserve">¿NO hay racha perdedora de 3 o más trades consecutivos?</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Log de operaciones</w:t>
            </w:r>
          </w:p>
        </w:tc>
      </w:tr>
      <w:tr>
        <w:tc>
          <w:tcPr>
            <w:gridSpan w:val="1"/>
            <w:tcBorders>
              <w:top w:val="single" w:color="D0D5DD" w:sz="1"/>
              <w:left w:val="single" w:color="D0D5DD" w:sz="1"/>
              <w:bottom w:val="single" w:color="D0D5DD" w:sz="1"/>
              <w:right w:val="single" w:color="D0D5DD" w:sz="1"/>
            </w:tcBorders>
            <w:shd w:fill="E8F0FF" w:val="clear"/>
            <w:tcMar>
              <w:top w:type="dxa" w:w="100"/>
              <w:left w:type="dxa" w:w="140"/>
              <w:bottom w:type="dxa" w:w="100"/>
              <w:right w:type="dxa" w:w="140"/>
            </w:tcMar>
            <w:vAlign w:val="center"/>
          </w:tcPr>
          <w:p>
            <w:pPr>
              <w:spacing w:before="30" w:after="30"/>
              <w:jc w:val="center"/>
            </w:pPr>
            <w:r>
              <w:rPr>
                <w:rFonts w:ascii="Arial" w:cs="Arial" w:eastAsia="Arial" w:hAnsi="Arial"/>
                <w:b/>
                <w:bCs/>
                <w:color w:val="0F3460"/>
                <w:sz w:val="18"/>
                <w:szCs w:val="18"/>
              </w:rPr>
              <w:t xml:space="preserve">□ 5</w:t>
            </w:r>
          </w:p>
        </w:tc>
        <w:tc>
          <w:tcPr>
            <w:gridSpan w:val="1"/>
            <w:tcBorders>
              <w:top w:val="single" w:color="D0D5DD" w:sz="1"/>
              <w:left w:val="single" w:color="D0D5DD" w:sz="1"/>
              <w:bottom w:val="single" w:color="D0D5DD" w:sz="1"/>
              <w:right w:val="single" w:color="D0D5DD" w:sz="1"/>
            </w:tcBorders>
            <w:shd w:fill="EDF2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2C3E50"/>
                <w:sz w:val="18"/>
                <w:szCs w:val="18"/>
              </w:rPr>
              <w:t xml:space="preserve">¿El capital disponible es &gt; $100 (o &gt; 10% del inicial)?</w:t>
            </w:r>
          </w:p>
        </w:tc>
        <w:tc>
          <w:tcPr>
            <w:gridSpan w:val="1"/>
            <w:tcBorders>
              <w:top w:val="single" w:color="D0D5DD" w:sz="1"/>
              <w:left w:val="single" w:color="D0D5DD" w:sz="1"/>
              <w:bottom w:val="single" w:color="D0D5DD" w:sz="1"/>
              <w:right w:val="single" w:color="D0D5DD" w:sz="1"/>
            </w:tcBorders>
            <w:shd w:fill="EDF2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Balance de cuenta Binance</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0F3460"/>
                <w:sz w:val="18"/>
                <w:szCs w:val="18"/>
              </w:rPr>
              <w:t xml:space="preserve">□ 6</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2C3E50"/>
                <w:sz w:val="18"/>
                <w:szCs w:val="18"/>
              </w:rPr>
              <w:t xml:space="preserve">¿Han pasado ≥ 8 horas desde el último trade? (4H) / ≥ 6 h (1H)?</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Timestamp del último trade</w:t>
            </w:r>
          </w:p>
        </w:tc>
      </w:tr>
      <w:tr>
        <w:tc>
          <w:tcPr>
            <w:gridSpan w:val="1"/>
            <w:tcBorders>
              <w:top w:val="single" w:color="D0D5DD" w:sz="1"/>
              <w:left w:val="single" w:color="D0D5DD" w:sz="1"/>
              <w:bottom w:val="single" w:color="D0D5DD" w:sz="1"/>
              <w:right w:val="single" w:color="D0D5DD" w:sz="1"/>
            </w:tcBorders>
            <w:shd w:fill="E8F0FF" w:val="clear"/>
            <w:tcMar>
              <w:top w:type="dxa" w:w="100"/>
              <w:left w:type="dxa" w:w="140"/>
              <w:bottom w:type="dxa" w:w="100"/>
              <w:right w:type="dxa" w:w="140"/>
            </w:tcMar>
            <w:vAlign w:val="center"/>
          </w:tcPr>
          <w:p>
            <w:pPr>
              <w:spacing w:before="30" w:after="30"/>
              <w:jc w:val="center"/>
            </w:pPr>
            <w:r>
              <w:rPr>
                <w:rFonts w:ascii="Arial" w:cs="Arial" w:eastAsia="Arial" w:hAnsi="Arial"/>
                <w:b/>
                <w:bCs/>
                <w:color w:val="0F3460"/>
                <w:sz w:val="18"/>
                <w:szCs w:val="18"/>
              </w:rPr>
              <w:t xml:space="preserve">□ 7</w:t>
            </w:r>
          </w:p>
        </w:tc>
        <w:tc>
          <w:tcPr>
            <w:gridSpan w:val="1"/>
            <w:tcBorders>
              <w:top w:val="single" w:color="D0D5DD" w:sz="1"/>
              <w:left w:val="single" w:color="D0D5DD" w:sz="1"/>
              <w:bottom w:val="single" w:color="D0D5DD" w:sz="1"/>
              <w:right w:val="single" w:color="D0D5DD" w:sz="1"/>
            </w:tcBorders>
            <w:shd w:fill="EDF2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2C3E50"/>
                <w:sz w:val="18"/>
                <w:szCs w:val="18"/>
              </w:rPr>
              <w:t xml:space="preserve">¿Ya se calculó el Qty BTC con la fórmula de sizing?</w:t>
            </w:r>
          </w:p>
        </w:tc>
        <w:tc>
          <w:tcPr>
            <w:gridSpan w:val="1"/>
            <w:tcBorders>
              <w:top w:val="single" w:color="D0D5DD" w:sz="1"/>
              <w:left w:val="single" w:color="D0D5DD" w:sz="1"/>
              <w:bottom w:val="single" w:color="D0D5DD" w:sz="1"/>
              <w:right w:val="single" w:color="D0D5DD" w:sz="1"/>
            </w:tcBorders>
            <w:shd w:fill="EDF2FF"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Calculadora / hoja de cálculo</w:t>
            </w:r>
          </w:p>
        </w:tc>
      </w:tr>
      <w:tr>
        <w:tc>
          <w:tcPr>
            <w:gridSpan w:val="1"/>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vAlign w:val="center"/>
          </w:tcPr>
          <w:p>
            <w:pPr>
              <w:spacing w:before="30" w:after="30"/>
              <w:jc w:val="center"/>
            </w:pPr>
            <w:r>
              <w:rPr>
                <w:rFonts w:ascii="Arial" w:cs="Arial" w:eastAsia="Arial" w:hAnsi="Arial"/>
                <w:b/>
                <w:bCs/>
                <w:color w:val="0F3460"/>
                <w:sz w:val="18"/>
                <w:szCs w:val="18"/>
              </w:rPr>
              <w:t xml:space="preserve">□ 8</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2C3E50"/>
                <w:sz w:val="18"/>
                <w:szCs w:val="18"/>
              </w:rPr>
              <w:t xml:space="preserve">¿Están colocadas las órdenes SL y TP en Binance Spot?</w:t>
            </w:r>
          </w:p>
        </w:tc>
        <w:tc>
          <w:tcPr>
            <w:gridSpan w:val="1"/>
            <w:tcBorders>
              <w:top w:val="single" w:color="D0D5DD" w:sz="1"/>
              <w:left w:val="single" w:color="D0D5DD" w:sz="1"/>
              <w:bottom w:val="single" w:color="D0D5DD" w:sz="1"/>
              <w:right w:val="single" w:color="D0D5DD" w:sz="1"/>
            </w:tcBorders>
            <w:shd w:fill="F8F8F8" w:val="clear"/>
            <w:tcMar>
              <w:top w:type="dxa" w:w="100"/>
              <w:left w:type="dxa" w:w="140"/>
              <w:bottom w:type="dxa" w:w="100"/>
              <w:right w:type="dxa" w:w="140"/>
            </w:tcMar>
            <w:vAlign w:val="center"/>
          </w:tcPr>
          <w:p>
            <w:pPr>
              <w:spacing w:before="30" w:after="30"/>
              <w:jc w:val="left"/>
            </w:pPr>
            <w:r>
              <w:rPr>
                <w:rFonts w:ascii="Arial" w:cs="Arial" w:eastAsia="Arial" w:hAnsi="Arial"/>
                <w:b w:val="false"/>
                <w:bCs w:val="false"/>
                <w:color w:val="666666"/>
                <w:sz w:val="16"/>
                <w:szCs w:val="16"/>
              </w:rPr>
              <w:t xml:space="preserve">Panel de órdenes Binance</w:t>
            </w:r>
          </w:p>
        </w:tc>
      </w:tr>
    </w:tbl>
    <w:p>
      <w:pPr>
        <w:spacing w:before="24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7E22" w:sz="1"/>
              <w:left w:val="thick" w:color="E67E22" w:sz="12"/>
              <w:bottom w:val="single" w:color="E67E22" w:sz="1"/>
              <w:right w:val="single" w:color="E67E22" w:sz="1"/>
            </w:tcBorders>
            <w:shd w:fill="FFFBF0" w:val="clear"/>
            <w:tcMar>
              <w:top w:type="dxa" w:w="200"/>
              <w:left w:type="dxa" w:w="280"/>
              <w:bottom w:type="dxa" w:w="200"/>
              <w:right w:type="dxa" w:w="280"/>
            </w:tcMar>
          </w:tcPr>
          <w:p>
            <w:pPr>
              <w:spacing w:before="40" w:after="40"/>
            </w:pPr>
            <w:r>
              <w:rPr>
                <w:rFonts w:ascii="Arial" w:cs="Arial" w:eastAsia="Arial" w:hAnsi="Arial"/>
                <w:b/>
                <w:bCs/>
                <w:color w:val="E67E22"/>
                <w:sz w:val="22"/>
                <w:szCs w:val="22"/>
              </w:rPr>
              <w:t xml:space="preserve">⚠  Aviso importante</w:t>
            </w:r>
          </w:p>
          <w:p>
            <w:pPr>
              <w:spacing w:before="20" w:after="40"/>
            </w:pPr>
            <w:r>
              <w:rPr>
                <w:rFonts w:ascii="Arial" w:cs="Arial" w:eastAsia="Arial" w:hAnsi="Arial"/>
                <w:color w:val="6D4C00"/>
                <w:sz w:val="18"/>
                <w:szCs w:val="18"/>
              </w:rPr>
              <w:t xml:space="preserve">Los resultados mostrados corresponden a un backtesting con datos sintéticos (proceso Ornstein-Uhlenbeck), no a datos históricos reales de mercado. El rendimiento pasado, incluso simulado, no garantiza resultados futuros. Se recomienda validar estas condiciones con paper trading durante al menos 2–3 meses antes de operar con capital real.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6"/>
      </w:pBdr>
      <w:tabs>
        <w:tab w:val="right" w:pos="9000"/>
      </w:tabs>
      <w:spacing w:before="100" w:after="0"/>
    </w:pPr>
    <w:r>
      <w:rPr>
        <w:rFonts w:ascii="Arial" w:cs="Arial" w:eastAsia="Arial" w:hAnsi="Arial"/>
        <w:i/>
        <w:iCs/>
        <w:color w:val="AAAAAA"/>
        <w:sz w:val="15"/>
        <w:szCs w:val="15"/>
      </w:rPr>
      <w:t xml:space="preserve">Solo para uso educativo. No constituye asesoramiento financiero.</w:t>
    </w:r>
    <w:r>
      <w:rPr>
        <w:rFonts w:ascii="Arial" w:cs="Arial" w:eastAsia="Arial" w:hAnsi="Arial"/>
        <w:color w:val="888888"/>
        <w:sz w:val="15"/>
        <w:szCs w:val="15"/>
      </w:rPr>
      <w:t xml:space="preserve">	Pág.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6"/>
      </w:pBdr>
      <w:spacing w:before="0" w:after="120"/>
    </w:pPr>
    <w:r>
      <w:rPr>
        <w:rFonts w:ascii="Arial" w:cs="Arial" w:eastAsia="Arial" w:hAnsi="Arial"/>
        <w:b/>
        <w:bCs/>
        <w:color w:val="0F3460"/>
        <w:sz w:val="17"/>
        <w:szCs w:val="17"/>
      </w:rPr>
      <w:t xml:space="preserve">Ultimate Macro &amp; Order Flow V6.0</w:t>
    </w:r>
    <w:r>
      <w:rPr>
        <w:rFonts w:ascii="Arial" w:cs="Arial" w:eastAsia="Arial" w:hAnsi="Arial"/>
        <w:color w:val="888888"/>
        <w:sz w:val="17"/>
        <w:szCs w:val="17"/>
      </w:rPr>
      <w:t xml:space="preserve">   |   Condiciones de Entrada SPOT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before="40" w:after="40"/>
        <w:ind w:left="640" w:hanging="360"/>
      </w:pPr>
      <w:rPr>
        <w:rFonts w:ascii="Arial" w:cs="Arial" w:eastAsia="Arial" w:hAnsi="Arial"/>
        <w:color w:val="2C3E50"/>
        <w:sz w:val="18"/>
        <w:szCs w:val="18"/>
      </w:rPr>
    </w:lvl>
  </w:abstractNum>
  <w:abstractNum w:abstractNumId="3" w15:restartNumberingAfterBreak="0">
    <w:multiLevelType w:val="hybridMultilevel"/>
    <w:lvl w:ilvl="0" w15:tentative="1">
      <w:start w:val="1"/>
      <w:numFmt w:val="bullet"/>
      <w:lvlText w:val="•"/>
      <w:lvlJc w:val="left"/>
      <w:pPr>
        <w:spacing w:before="30" w:after="30"/>
        <w:ind w:left="640" w:hanging="280"/>
      </w:pPr>
      <w:rPr>
        <w:rFonts w:ascii="Arial" w:cs="Arial" w:eastAsia="Arial" w:hAnsi="Arial"/>
        <w:color w:val="2C3E50"/>
        <w:sz w:val="18"/>
        <w:szCs w:val="18"/>
      </w:rPr>
    </w:lvl>
  </w:abstractNum>
  <w:abstractNum w:abstractNumId="4" w15:restartNumberingAfterBreak="0">
    <w:multiLevelType w:val="hybridMultilevel"/>
    <w:lvl w:ilvl="0" w15:tentative="1">
      <w:start w:val="1"/>
      <w:numFmt w:val="bullet"/>
      <w:lvlText w:val="✓"/>
      <w:lvlJc w:val="left"/>
      <w:pPr>
        <w:spacing w:before="30" w:after="30"/>
        <w:ind w:left="640" w:hanging="280"/>
      </w:pPr>
      <w:rPr>
        <w:rFonts w:ascii="Symbol" w:cs="Symbol" w:eastAsia="Symbol" w:hAnsi="Symbol"/>
        <w:color w:val="1B5E20"/>
        <w:sz w:val="18"/>
        <w:szCs w:val="1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F3460"/>
      <w:sz w:val="36"/>
      <w:szCs w:val="36"/>
    </w:rPr>
  </w:style>
  <w:style w:type="paragraph" w:styleId="Heading2">
    <w:name w:val="Heading 2"/>
    <w:basedOn w:val="Normal"/>
    <w:next w:val="Normal"/>
    <w:qFormat/>
    <w:pPr>
      <w:spacing w:before="220" w:after="120"/>
      <w:outlineLvl w:val="1"/>
    </w:pPr>
    <w:rPr>
      <w:rFonts w:ascii="Arial" w:cs="Arial" w:eastAsia="Arial" w:hAnsi="Arial"/>
      <w:b/>
      <w:bCs/>
      <w:color w:val="16213E"/>
      <w:sz w:val="26"/>
      <w:szCs w:val="26"/>
    </w:rPr>
  </w:style>
  <w:style w:type="paragraph" w:styleId="Heading3">
    <w:name w:val="Heading 3"/>
    <w:basedOn w:val="Normal"/>
    <w:next w:val="Normal"/>
    <w:qFormat/>
    <w:pPr>
      <w:spacing w:before="160" w:after="80"/>
      <w:outlineLvl w:val="2"/>
    </w:pPr>
    <w:rPr>
      <w:rFonts w:ascii="Arial" w:cs="Arial" w:eastAsia="Arial" w:hAnsi="Arial"/>
      <w:b/>
      <w:bCs/>
      <w:color w:val="E67E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2026-03-20T22:08:56.943Z</dcterms:created>
  <dcterms:modified xsi:type="dcterms:W3CDTF">2026-03-20T22:08:56.944Z</dcterms:modified>
</cp:coreProperties>
</file>

<file path=docProps/custom.xml><?xml version="1.0" encoding="utf-8"?>
<Properties xmlns="http://schemas.openxmlformats.org/officeDocument/2006/custom-properties" xmlns:vt="http://schemas.openxmlformats.org/officeDocument/2006/docPropsVTypes"/>
</file>