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4AFBE" w14:textId="77777777" w:rsidR="009D5FBB" w:rsidRPr="00F37AB6" w:rsidRDefault="009D5FBB" w:rsidP="009D5FBB">
      <w:pPr>
        <w:pStyle w:val="1"/>
        <w:rPr>
          <w:b/>
        </w:rPr>
      </w:pPr>
      <w:bookmarkStart w:id="0" w:name="_Toc223563482"/>
      <w:r w:rsidRPr="00F37AB6">
        <w:t>紀元520</w:t>
      </w:r>
      <w:r>
        <w:rPr>
          <w:rFonts w:hint="eastAsia"/>
        </w:rPr>
        <w:t>-585_</w:t>
      </w:r>
      <w:r w:rsidRPr="00F37AB6">
        <w:t>赤銅王朝　前期</w:t>
      </w:r>
      <w:bookmarkEnd w:id="0"/>
    </w:p>
    <w:p w14:paraId="3CC6FF30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</w:t>
      </w:r>
      <w:r w:rsidRPr="00393F8F">
        <w:rPr>
          <w:rFonts w:ascii="Yu Gothic" w:eastAsia="Yu Gothic" w:hAnsi="Yu Gothic"/>
          <w:b/>
          <w:bCs/>
        </w:rPr>
        <w:t>初代赤銅王は</w:t>
      </w:r>
      <w:r w:rsidRPr="00393F8F">
        <w:rPr>
          <w:rFonts w:ascii="Yu Gothic" w:eastAsia="Yu Gothic" w:hAnsi="Yu Gothic"/>
          <w:b/>
          <w:bCs/>
          <w:highlight w:val="yellow"/>
        </w:rPr>
        <w:t>ケヴィン・ニタゴールド王</w:t>
      </w:r>
      <w:r w:rsidRPr="00393F8F">
        <w:rPr>
          <w:rFonts w:ascii="Yu Gothic" w:eastAsia="Yu Gothic" w:hAnsi="Yu Gothic"/>
          <w:b/>
          <w:bCs/>
        </w:rPr>
        <w:t>（旧ケヴィン・キプロスリード）</w:t>
      </w:r>
      <w:r w:rsidRPr="00F37AB6">
        <w:rPr>
          <w:rFonts w:ascii="Yu Gothic" w:eastAsia="Yu Gothic" w:hAnsi="Yu Gothic"/>
        </w:rPr>
        <w:t>である。</w:t>
      </w:r>
    </w:p>
    <w:p w14:paraId="3938B53F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・交易により、文化交流や人的交流が盛んに。</w:t>
      </w:r>
    </w:p>
    <w:p w14:paraId="4F8DFF70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</w:t>
      </w:r>
      <w:r w:rsidRPr="00393F8F">
        <w:rPr>
          <w:rFonts w:ascii="Yu Gothic" w:eastAsia="Yu Gothic" w:hAnsi="Yu Gothic"/>
          <w:b/>
          <w:bCs/>
          <w:highlight w:val="yellow"/>
        </w:rPr>
        <w:t>大使館等</w:t>
      </w:r>
      <w:r w:rsidRPr="00F37AB6">
        <w:rPr>
          <w:rFonts w:ascii="Yu Gothic" w:eastAsia="Yu Gothic" w:hAnsi="Yu Gothic"/>
        </w:rPr>
        <w:t>が建つ。また、外国人街の形成と差別や軋轢も生まれる。</w:t>
      </w:r>
    </w:p>
    <w:p w14:paraId="158D4574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・出身や種族（エルフ、ドワーフ）で職業適性や、容姿の差や性格が違い、摩擦も増える。</w:t>
      </w:r>
    </w:p>
    <w:p w14:paraId="67AE3DD8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・小さなきっかけで国中を巻き込む社会運動を巻き起こす。</w:t>
      </w:r>
    </w:p>
    <w:p w14:paraId="228764FB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・きっかけは、貴族の独身男性が絶世の美女のエルフと恋仲になり、たちどころに噂となる。</w:t>
      </w:r>
    </w:p>
    <w:p w14:paraId="3F39BF09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・はじめは、乙女の噂話程度であったが、差別派と共生派の抗争に発展してしまう。</w:t>
      </w:r>
    </w:p>
    <w:p w14:paraId="25628B8C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・最終的には暴発寸前までいくが、</w:t>
      </w:r>
      <w:r w:rsidRPr="00393F8F">
        <w:rPr>
          <w:rFonts w:ascii="Yu Gothic" w:eastAsia="Yu Gothic" w:hAnsi="Yu Gothic"/>
          <w:b/>
          <w:bCs/>
          <w:highlight w:val="yellow"/>
        </w:rPr>
        <w:t>赤銅王と宰相と国軍総司令</w:t>
      </w:r>
      <w:r w:rsidRPr="00F37AB6">
        <w:rPr>
          <w:rFonts w:ascii="Yu Gothic" w:eastAsia="Yu Gothic" w:hAnsi="Yu Gothic"/>
        </w:rPr>
        <w:t>が動き事なきを得る。</w:t>
      </w:r>
    </w:p>
    <w:p w14:paraId="50903414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・結局、外国人政策と国際法の制定をもって、事態収拾に至った。</w:t>
      </w:r>
    </w:p>
    <w:p w14:paraId="472AC246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・外国人政策は単純で、入国税と身分証明、犯罪や不法行為は国内法による処罰か国外追放。</w:t>
      </w:r>
    </w:p>
    <w:p w14:paraId="4E6BDD8E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・国籍制度の導入と住民把握政策の実施。</w:t>
      </w:r>
    </w:p>
    <w:p w14:paraId="1B1F8088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・人口統計や外国人と国民との区別を鮮明に。</w:t>
      </w:r>
    </w:p>
    <w:p w14:paraId="2292A31F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・国民の権利を得るためには、厳しい審査を受ける必要がある。</w:t>
      </w:r>
    </w:p>
    <w:p w14:paraId="6E889B33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・この時に</w:t>
      </w:r>
      <w:r w:rsidRPr="00393F8F">
        <w:rPr>
          <w:rFonts w:ascii="Yu Gothic" w:eastAsia="Yu Gothic" w:hAnsi="Yu Gothic"/>
          <w:b/>
          <w:bCs/>
          <w:highlight w:val="yellow"/>
        </w:rPr>
        <w:t>国民の定義や責任と義務、国や国王の責任と義務が定義、宣言</w:t>
      </w:r>
      <w:r w:rsidRPr="00F37AB6">
        <w:rPr>
          <w:rFonts w:ascii="Yu Gothic" w:eastAsia="Yu Gothic" w:hAnsi="Yu Gothic"/>
        </w:rPr>
        <w:t>される。</w:t>
      </w:r>
    </w:p>
    <w:p w14:paraId="09B6E38C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・国と国王は、国および国民が繁栄し覇権を取るために存在している。全ての国の権限は国王にあり、・その権利は、繁栄と覇権のために行使しなければならい。</w:t>
      </w:r>
    </w:p>
    <w:p w14:paraId="48443A9D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・国民は、国と国王の繁栄と覇権に貢献する義務がある。国民は繁栄と覇権を享受する権利を有する。</w:t>
      </w:r>
    </w:p>
    <w:p w14:paraId="7C89812F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と定めて、演説した。</w:t>
      </w:r>
    </w:p>
    <w:p w14:paraId="422DD459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・国際法の制定</w:t>
      </w:r>
    </w:p>
    <w:p w14:paraId="73381FF0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・国内の差別問題が国際問題に発展せぬように、国際法の制定に奔走した。</w:t>
      </w:r>
    </w:p>
    <w:p w14:paraId="4B2E3093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・各国の代表と会談を重ね、国家間の取り決めや大使の派遣、出入国の決め事をまとめた文書を加盟国と締結した。</w:t>
      </w:r>
    </w:p>
    <w:p w14:paraId="460A50F1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・国際的な枠組みと、国家としての体裁が整備された時期である。</w:t>
      </w:r>
    </w:p>
    <w:p w14:paraId="14D009B7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・また、この頃は政治学や経済理論等が活発に研究された。</w:t>
      </w:r>
    </w:p>
    <w:p w14:paraId="0C1174FF" w14:textId="77777777" w:rsidR="009D5FBB" w:rsidRPr="00F37AB6" w:rsidRDefault="009D5FBB" w:rsidP="009D5FBB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・赤銅王（初代）は、長命かつ任期も長く120歳まで生き、在位は何と65年にも至った。</w:t>
      </w:r>
    </w:p>
    <w:p w14:paraId="13D9C86C" w14:textId="14C20101" w:rsidR="009D3ACE" w:rsidRDefault="009D5FBB" w:rsidP="009D5FBB">
      <w:r w:rsidRPr="00F37AB6">
        <w:rPr>
          <w:rFonts w:ascii="Yu Gothic" w:eastAsia="Yu Gothic" w:hAnsi="Yu Gothic"/>
        </w:rPr>
        <w:t>・赤銅王朝前期は初代の時代とイコールである</w:t>
      </w:r>
    </w:p>
    <w:sectPr w:rsidR="009D3AC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BB"/>
    <w:rsid w:val="009D3ACE"/>
    <w:rsid w:val="009D5FBB"/>
    <w:rsid w:val="00A23448"/>
    <w:rsid w:val="00F1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27FC4CE"/>
  <w15:chartTrackingRefBased/>
  <w15:docId w15:val="{BC6915A5-0814-471A-93E7-D77C03FB7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FB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5F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F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F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F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F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F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F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F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D5F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D5F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D5FB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D5F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D5F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D5F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D5F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D5F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D5F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D5F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D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F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D5F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5F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D5F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5FB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D5FB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D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D5FB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D5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2026-07-23T16:29:00Z</dcterms:created>
  <dcterms:modified xsi:type="dcterms:W3CDTF">2026-07-23T16:29:00Z</dcterms:modified>
</cp:coreProperties>
</file>