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个人阅读文献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1f2329"/>
          <w:sz w:val="22"/>
        </w:rPr>
        <w:t>互联网的稳定性和鲁棒性离不开拥塞控制,是计算机网络学习中重要的一环，本人选择一篇论述TCP拥塞新算法的论文进行的研究。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1f2329"/>
          <w:sz w:val="22"/>
        </w:rPr>
        <w:t>该论文提出了一种新的TCP</w:t>
      </w:r>
      <w:r>
        <w:rPr>
          <w:rFonts w:eastAsia="等线" w:ascii="Arial" w:cs="Arial" w:hAnsi="Arial"/>
          <w:color w:val="1f2329"/>
          <w:sz w:val="22"/>
        </w:rPr>
        <w:t>拥塞窗口</w:t>
      </w:r>
      <w:r>
        <w:rPr>
          <w:rFonts w:eastAsia="等线" w:ascii="Arial" w:cs="Arial" w:hAnsi="Arial"/>
          <w:color w:val="1f2329"/>
          <w:sz w:val="22"/>
        </w:rPr>
        <w:t>调整策略A-Cwnd。该策略依据</w:t>
      </w:r>
      <w:r>
        <w:rPr>
          <w:rFonts w:eastAsia="等线" w:ascii="Arial" w:cs="Arial" w:hAnsi="Arial"/>
          <w:color w:val="1f2329"/>
          <w:sz w:val="22"/>
        </w:rPr>
        <w:t>RTT</w:t>
      </w:r>
      <w:r>
        <w:rPr>
          <w:rFonts w:eastAsia="等线" w:ascii="Arial" w:cs="Arial" w:hAnsi="Arial"/>
          <w:color w:val="1f2329"/>
          <w:sz w:val="22"/>
        </w:rPr>
        <w:t>采样值</w:t>
      </w:r>
      <w:r>
        <w:rPr>
          <w:rFonts w:eastAsia="等线" w:ascii="Arial" w:cs="Arial" w:hAnsi="Arial"/>
          <w:color w:val="1f2329"/>
          <w:sz w:val="22"/>
        </w:rPr>
        <w:t>构建正态分布函数式, 动态更新下一拥塞窗口值, 能较好地适应网络实时变化特点, 具有不错的响应性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1f2329"/>
          <w:sz w:val="22"/>
        </w:rPr>
        <w:t>论文引言部分提出了研究TCP拥塞控制算法的重要性，并指出了传统AIMD算法的局限性，提出了一种新的TCP拥塞窗口调整策略A-Cwnd。该策略依据RTT采样值构建正态分布函数式, 动态更新下一拥塞窗口值, 能较好地适应网络实时变化特点, 具有不错的响应性。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1f2329"/>
          <w:sz w:val="22"/>
        </w:rPr>
        <w:t>第一部分阐述了拥塞控制的基本概念，包括开环和闭环以及经典拥塞避免的四个阶段。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1f2329"/>
          <w:sz w:val="22"/>
        </w:rPr>
        <w:t>第二部分提出了新算法的基本思路和算法流程：当系统进入拥塞避免阶段后, 由样本值构建正态分布密度函数φ (x) , 同时计算出μ±3σ作为后续运算上下限。积分求得正态分布函数F (x) 值后代入新算法, 即可预估下一拥塞窗口值。依次重复上述步骤, 即可实现发送窗口的动态更新。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1f2329"/>
          <w:sz w:val="22"/>
        </w:rPr>
        <w:t>第三部分阐明了算法的具体实现并进行了算法性能分析，用可视化形式来清晰地展示。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1f2329"/>
          <w:sz w:val="22"/>
        </w:rPr>
        <w:t>第四部分展示了采用NS3网络仿真器, 在Ubuntu16.04平台下搭建了一高度可调节、可多次使用的实验环境的情况，用以验证新策略的有效性。通过实验结果可知，新算法减轻了原AIMD算法的窗口抖动“症状”,新策略在拥塞窗口平均值、丢包率、系统吞吐量及带宽利用率四个方面对系统性能均有一定程度的改善, 图表数据也表明新策略效果明显优于原策略, 能较好地实现高效稳定的拥塞避免过程。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1f2329"/>
          <w:sz w:val="22"/>
        </w:rPr>
        <w:t>第五部分作为结语，提出了新算法对于无线传输具有局限性，后期将增加丢包区分策略, 使之具有更好的适应性，并对未来算法的完整做出了展望。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论文出处：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茹新宇, 刘渊, 陈伟. 新TCP</w:t>
      </w:r>
      <w:r>
        <w:rPr>
          <w:rFonts w:eastAsia="等线" w:ascii="Arial" w:cs="Arial" w:hAnsi="Arial"/>
          <w:sz w:val="22"/>
        </w:rPr>
        <w:t>拥塞窗口</w:t>
      </w:r>
      <w:r>
        <w:rPr>
          <w:rFonts w:eastAsia="等线" w:ascii="Arial" w:cs="Arial" w:hAnsi="Arial"/>
          <w:sz w:val="22"/>
        </w:rPr>
        <w:t>调整策略[J]. 微型机与应用, 2017, 36 (10): 77-80.</w:t>
      </w:r>
    </w:p>
    <w:sectPr>
      <w:footerReference w:type="default" r:id="rId3"/>
      <w:headerReference w:type="default" r:id="rId4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2023-12-29T16:42:07Z</dcterms:created>
  <dc:creator>Apache POI</dc:creator>
</cp:coreProperties>
</file>