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微软雅黑" w:hAnsi="微软雅黑" w:eastAsia="微软雅黑" w:cs="微软雅黑"/>
          <w:b/>
          <w:bCs/>
          <w:sz w:val="28"/>
          <w:szCs w:val="36"/>
        </w:rPr>
      </w:pPr>
      <w:r>
        <w:rPr>
          <w:rFonts w:ascii="微软雅黑" w:hAnsi="微软雅黑" w:cs="微软雅黑" w:eastAsia="微软雅黑"/>
          <w:b/>
          <w:bCs/>
          <w:sz w:val="28"/>
          <w:szCs w:val="36"/>
        </w:rPr>
        <w:t>中期检查要求</w:t>
      </w:r>
    </w:p>
    <w:p>
      <w:pPr>
        <w:pStyle w:val="Normal"/>
        <w:numPr>
          <w:ilvl w:val="0"/>
          <w:numId w:val="0"/>
        </w:numPr>
        <w:ind w:hanging="0" w:left="0"/>
        <w:jc w:val="left"/>
        <w:rPr/>
      </w:pPr>
      <w:r>
        <w:rPr>
          <w:rFonts w:ascii="Calibri" w:hAnsi="Calibri" w:cs="" w:asciiTheme="minorHAnsi" w:cstheme="minorBidi" w:hAnsiTheme="minorHAnsi"/>
          <w:kern w:val="2"/>
          <w:sz w:val="21"/>
          <w:szCs w:val="24"/>
          <w:lang w:val="en-US" w:eastAsia="zh-CN" w:bidi="ar-SA"/>
        </w:rPr>
        <w:t>（</w:t>
      </w:r>
      <w:r>
        <w:rPr>
          <w:rFonts w:cs="" w:cstheme="minorBidi"/>
          <w:kern w:val="2"/>
          <w:sz w:val="21"/>
          <w:szCs w:val="24"/>
          <w:lang w:val="en-US" w:eastAsia="zh-CN" w:bidi="ar-SA"/>
        </w:rPr>
        <w:t>1</w:t>
      </w:r>
      <w:r>
        <w:rPr>
          <w:rFonts w:ascii="Calibri" w:hAnsi="Calibri" w:cs="" w:asciiTheme="minorHAnsi" w:cstheme="minorBidi" w:hAnsiTheme="minorHAnsi"/>
          <w:kern w:val="2"/>
          <w:sz w:val="21"/>
          <w:szCs w:val="24"/>
          <w:lang w:val="en-US" w:eastAsia="zh-CN" w:bidi="ar-SA"/>
        </w:rPr>
        <w:t>）</w:t>
      </w:r>
      <w:r>
        <w:rPr/>
        <w:t>电磁组、摄像头组</w:t>
      </w:r>
    </w:p>
    <w:p>
      <w:pPr>
        <w:pStyle w:val="Normal"/>
        <w:jc w:val="left"/>
        <w:rPr/>
      </w:pPr>
      <w:r>
        <w:rPr>
          <w:rFonts w:ascii="SimSun" w:hAnsi="SimSun"/>
          <w:sz w:val="21"/>
        </w:rPr>
        <w:t xml:space="preserve">电磁组、摄像头组小车按图示红色路线完成赛道验收。小车可在 </w:t>
      </w:r>
      <w:r>
        <w:rPr>
          <w:rFonts w:eastAsia="宋体" w:ascii="SimSun" w:hAnsi="SimSun"/>
          <w:sz w:val="21"/>
        </w:rPr>
        <w:t>A</w:t>
      </w:r>
      <w:r>
        <w:rPr>
          <w:rFonts w:ascii="SimSun" w:hAnsi="SimSun"/>
          <w:sz w:val="21"/>
        </w:rPr>
        <w:t>、</w:t>
      </w:r>
      <w:r>
        <w:rPr>
          <w:rFonts w:eastAsia="宋体" w:ascii="SimSun" w:hAnsi="SimSun"/>
          <w:sz w:val="21"/>
        </w:rPr>
        <w:t xml:space="preserve">B </w:t>
      </w:r>
      <w:r>
        <w:rPr>
          <w:rFonts w:ascii="SimSun" w:hAnsi="SimSun"/>
          <w:sz w:val="21"/>
        </w:rPr>
        <w:t>两条红色标线中任选一处发车，沿弯道和直道行驶，不经过环岛和十字元素，抵达另一条红色标线。</w:t>
      </w:r>
    </w:p>
    <w:p>
      <w:pPr>
        <w:pStyle w:val="Normal"/>
        <w:jc w:val="left"/>
        <w:rPr>
          <w:rFonts w:eastAsia="宋体" w:eastAsiaTheme="minorEastAsia"/>
          <w:lang w:eastAsia="zh-CN"/>
        </w:rPr>
      </w:pPr>
      <w:r>
        <w:rPr>
          <w:rFonts w:ascii="SimSun" w:hAnsi="SimSun"/>
          <w:sz w:val="21"/>
        </w:rPr>
        <w:t>到达另一条红色标线即视为验收成功；</w:t>
      </w:r>
      <w:r>
        <w:rPr>
          <w:rFonts w:eastAsia="宋体" w:ascii="SimSun" w:hAnsi="SimSun"/>
          <w:sz w:val="21"/>
        </w:rPr>
        <w:t>A</w:t>
      </w:r>
      <w:r>
        <w:rPr>
          <w:rFonts w:ascii="SimSun" w:hAnsi="SimSun"/>
          <w:sz w:val="21"/>
        </w:rPr>
        <w:t>、</w:t>
      </w:r>
      <w:r>
        <w:rPr>
          <w:rFonts w:eastAsia="宋体" w:ascii="SimSun" w:hAnsi="SimSun"/>
          <w:sz w:val="21"/>
        </w:rPr>
        <w:t xml:space="preserve">B </w:t>
      </w:r>
      <w:r>
        <w:rPr>
          <w:rFonts w:ascii="SimSun" w:hAnsi="SimSun"/>
          <w:sz w:val="21"/>
        </w:rPr>
        <w:t>两处可互换为发车点和终点。不要求停车，跑完指定路线后可手动截停。</w:t>
      </w:r>
      <w:r>
        <w:rPr>
          <w:rFonts w:ascii="SimSun" w:hAnsi="SimSun"/>
          <w:sz w:val="21"/>
          <w:lang w:eastAsia="zh-CN"/>
        </w:rPr>
        <w:t>（注：摄像头组中期检查不放红砖）</w:t>
      </w:r>
    </w:p>
    <w:p>
      <w:pPr>
        <w:pStyle w:val="Normal"/>
        <w:jc w:val="left"/>
        <w:rPr>
          <w:rFonts w:eastAsia="宋体" w:eastAsiaTheme="minorEastAsia"/>
          <w:lang w:eastAsia="zh-CN"/>
        </w:rPr>
      </w:pPr>
      <w:r>
        <w:rPr/>
        <w:t xml:space="preserve">赛道验收方案（红线 </w:t>
      </w:r>
      <w:r>
        <w:rPr/>
        <w:t>A</w:t>
      </w:r>
      <w:r>
        <w:rPr/>
        <w:t>、</w:t>
      </w:r>
      <w:r>
        <w:rPr/>
        <w:t xml:space="preserve">B </w:t>
      </w:r>
      <w:r>
        <w:rPr/>
        <w:t>可互换为发车点和终点）</w:t>
      </w:r>
      <w:r>
        <w:rPr/>
        <w:br/>
      </w:r>
      <w:bookmarkStart w:id="0" w:name="_GoBack"/>
      <w:r>
        <w:rPr/>
        <w:drawing>
          <wp:inline distT="0" distB="0" distL="0" distR="0">
            <wp:extent cx="4771390" cy="2736215"/>
            <wp:effectExtent l="0" t="0" r="0" b="0"/>
            <wp:docPr id="1" name="图片 1" descr="7ddcb5617c6481c9bbeed7e349dd69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ddcb5617c6481c9bbeed7e349dd69b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Normal"/>
        <w:jc w:val="left"/>
        <w:rPr/>
      </w:pPr>
      <w:r>
        <w:rPr/>
        <w:t>（</w:t>
      </w:r>
      <w:r>
        <w:rPr>
          <w:lang w:val="en-US" w:eastAsia="zh-CN"/>
        </w:rPr>
        <w:t>2</w:t>
      </w:r>
      <w:r>
        <w:rPr/>
        <w:t>）</w:t>
      </w:r>
      <w:r>
        <w:rPr>
          <w:lang w:val="en-US" w:eastAsia="zh-CN"/>
        </w:rPr>
        <w:t>惯导</w:t>
      </w:r>
      <w:r>
        <w:rPr/>
        <w:t>组</w:t>
      </w:r>
    </w:p>
    <w:p>
      <w:pPr>
        <w:pStyle w:val="Normal"/>
        <w:jc w:val="left"/>
        <w:rPr>
          <w:lang w:val="en-US" w:eastAsia="zh-CN"/>
        </w:rPr>
      </w:pPr>
      <w:r>
        <w:rPr>
          <w:lang w:val="en-US" w:eastAsia="zh-CN"/>
        </w:rPr>
        <w:t>车模静止出发，向前直行</w:t>
      </w:r>
      <w:r>
        <w:rPr>
          <w:lang w:val="en-US" w:eastAsia="zh-CN"/>
        </w:rPr>
        <w:t>3</w:t>
      </w:r>
      <w:r>
        <w:rPr>
          <w:lang w:val="en-US" w:eastAsia="zh-CN"/>
        </w:rPr>
        <w:t>米后绕过锥桶或其他标记物掉头回到发车线，转弯半径在</w:t>
      </w:r>
      <w:r>
        <w:rPr>
          <w:lang w:val="en-US" w:eastAsia="zh-CN"/>
        </w:rPr>
        <w:t>1</w:t>
      </w:r>
      <w:r>
        <w:rPr>
          <w:lang w:val="en-US" w:eastAsia="zh-CN"/>
        </w:rPr>
        <w:t>米左右，掉头方向不限，发车线宽度不限，但需考虑室内空间。</w:t>
      </w:r>
    </w:p>
    <w:p>
      <w:pPr>
        <w:pStyle w:val="Normal"/>
        <w:jc w:val="left"/>
        <w:rPr>
          <w:lang w:val="en-US" w:eastAsia="zh-CN"/>
        </w:rPr>
      </w:pPr>
      <w:r>
        <w:rPr>
          <w:lang w:val="en-US" w:eastAsia="zh-CN"/>
        </w:rPr>
        <w:t>发车位置与发车线平行，不要求停车但必须返回经过发车线</w:t>
      </w:r>
    </w:p>
    <w:p>
      <w:pPr>
        <w:pStyle w:val="Normal"/>
        <w:jc w:val="left"/>
        <w:rPr>
          <w:lang w:val="en-US" w:eastAsia="zh-CN"/>
        </w:rPr>
      </w:pPr>
      <w:r>
        <w:rPr/>
        <w:drawing>
          <wp:inline distT="0" distB="0" distL="0" distR="0">
            <wp:extent cx="4090035" cy="3273425"/>
            <wp:effectExtent l="0" t="0" r="0" b="0"/>
            <wp:docPr id="2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03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hanging="0" w:left="0"/>
        <w:jc w:val="left"/>
        <w:rPr/>
      </w:pPr>
      <w:r>
        <w:rPr/>
        <w:t>检查时间</w:t>
      </w:r>
    </w:p>
    <w:p>
      <w:pPr>
        <w:pStyle w:val="Normal"/>
        <w:jc w:val="left"/>
        <w:rPr>
          <w:rFonts w:eastAsia="宋体" w:eastAsiaTheme="minorEastAsia"/>
          <w:lang w:val="en-US" w:eastAsia="zh-CN"/>
        </w:rPr>
      </w:pPr>
      <w:r>
        <w:rPr/>
        <w:t>中期检查时间：</w:t>
      </w:r>
      <w:r>
        <w:rPr/>
        <w:t>202</w:t>
      </w:r>
      <w:r>
        <w:rPr>
          <w:lang w:val="en-US" w:eastAsia="zh-CN"/>
        </w:rPr>
        <w:t>6</w:t>
      </w:r>
      <w:r>
        <w:rPr/>
        <w:t>.1</w:t>
      </w:r>
      <w:r>
        <w:rPr>
          <w:lang w:val="en-US" w:eastAsia="zh-CN"/>
        </w:rPr>
        <w:t>0</w:t>
      </w:r>
      <w:r>
        <w:rPr/>
        <w:t>.2</w:t>
      </w:r>
      <w:r>
        <w:rPr>
          <w:lang w:val="en-US" w:eastAsia="zh-CN"/>
        </w:rPr>
        <w:t>4</w:t>
      </w:r>
      <w:r>
        <w:rPr/>
        <w:t>~202</w:t>
      </w:r>
      <w:r>
        <w:rPr>
          <w:lang w:val="en-US" w:eastAsia="zh-CN"/>
        </w:rPr>
        <w:t>6</w:t>
      </w:r>
      <w:r>
        <w:rPr/>
        <w:t>.1</w:t>
      </w:r>
      <w:r>
        <w:rPr>
          <w:lang w:val="en-US" w:eastAsia="zh-CN"/>
        </w:rPr>
        <w:t>0.25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微软雅黑">
    <w:charset w:val="01"/>
    <w:family w:val="roman"/>
    <w:pitch w:val="variable"/>
  </w:font>
  <w:font w:name="SimSu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 w:qFormat="1"/>
    <w:lsdException w:name="annotation subject" w:uiPriority="0" w:semiHidden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semiHidden="0" w:unhideWhenUsed="0"/>
    <w:lsdException w:name="Table Grid" w:uiPriority="0" w:semiHidden="0" w:unhideWhenUsed="0"/>
    <w:lsdException w:name="Table Theme" w:uiPriority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uiPriority w:val="0"/>
    <w:qFormat/>
    <w:rPr>
      <w:kern w:val="2"/>
      <w:sz w:val="18"/>
      <w:szCs w:val="18"/>
    </w:rPr>
  </w:style>
  <w:style w:type="character" w:styleId="Style15" w:customStyle="1">
    <w:name w:val="页脚 字符"/>
    <w:basedOn w:val="DefaultParagraphFont"/>
    <w:uiPriority w:val="0"/>
    <w:qFormat/>
    <w:rPr>
      <w:kern w:val="2"/>
      <w:sz w:val="18"/>
      <w:szCs w:val="18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  <w:style w:type="paragraph" w:styleId="Style18">
    <w:name w:val="页眉与页脚"/>
    <w:basedOn w:val="Normal"/>
    <w:qFormat/>
    <w:pPr/>
    <w:rPr/>
  </w:style>
  <w:style w:type="paragraph" w:styleId="Footer">
    <w:name w:val="Footer"/>
    <w:basedOn w:val="Normal"/>
    <w:link w:val="Style15"/>
    <w:uiPriority w:val="0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link w:val="Style14"/>
    <w:uiPriority w:val="0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 l="0" t="0" r="0" b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LibreOffice/24.2.7.2$Linux_X86_64 LibreOffice_project/420$Build-2</Application>
  <AppVersion>15.0000</AppVersion>
  <Pages>2</Pages>
  <Words>293</Words>
  <Characters>313</Characters>
  <CharactersWithSpaces>319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2025-10-26T08:17:00Z</dcterms:created>
  <dc:creator>WPS_1692587985</dc:creator>
  <dc:description/>
  <dc:language>zh-CN</dc:language>
  <cp:lastModifiedBy/>
  <dcterms:modified xsi:type="dcterms:W3CDTF">2026-10-08T00:08:00Z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0CF80BD1D78649DC832B8F9F23FC5905_11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eyJoZGlkIjoiYTI2NGQ4ZTdhNDBmZDkxMWVmMzA2MGQ1MTJjNTRmMTciLCJ1c2VySWQiOiIxNTM5NjU5MDg0In0=</vt:lpwstr>
  </property>
</Properties>
</file>