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Практическая работа P16 кэш и автономный режим</w:t>
      </w:r>
    </w:p>
    <w:p>
      <w:r>
        <w:t>Выполнил: Георгий Петросян</w:t>
      </w:r>
    </w:p>
    <w:p>
      <w:pPr>
        <w:pStyle w:val="Heading1"/>
      </w:pPr>
      <w:r>
        <w:t>Результат</w:t>
      </w:r>
    </w:p>
    <w:p>
      <w:r>
        <w:t>Справочник типов тренировок получил устойчивый автономный режим. Полностью проверенный ответ сохраняется вместе со временем получения, а при сетевом отказе читается как кэш с явной отметкой источника. Запись выполняется атомарной заменой.</w:t>
      </w:r>
    </w:p>
    <w:p>
      <w:pPr>
        <w:pStyle w:val="Heading1"/>
      </w:pPr>
      <w:r>
        <w:t>Проверки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94"/>
        <w:gridCol w:w="3194"/>
        <w:gridCol w:w="3194"/>
      </w:tblGrid>
      <w:tr>
        <w:trPr>
          <w:tblHeader/>
        </w:trPr>
        <w:tc>
          <w:tcPr>
            <w:tcW w:type="dxa" w:w="3194"/>
          </w:tcPr>
          <w:p>
            <w:pPr>
              <w:spacing w:after="60" w:line="240" w:lineRule="auto"/>
            </w:pPr>
            <w:r>
              <w:rPr>
                <w:b/>
                <w:sz w:val="20"/>
              </w:rPr>
              <w:t>Состояние</w:t>
            </w:r>
          </w:p>
        </w:tc>
        <w:tc>
          <w:tcPr>
            <w:tcW w:type="dxa" w:w="3194"/>
          </w:tcPr>
          <w:p>
            <w:pPr>
              <w:spacing w:after="60" w:line="240" w:lineRule="auto"/>
            </w:pPr>
            <w:r>
              <w:rPr>
                <w:b/>
                <w:sz w:val="20"/>
              </w:rPr>
              <w:t>Ожидание</w:t>
            </w:r>
          </w:p>
        </w:tc>
        <w:tc>
          <w:tcPr>
            <w:tcW w:type="dxa" w:w="3194"/>
          </w:tcPr>
          <w:p>
            <w:pPr>
              <w:spacing w:after="60" w:line="240" w:lineRule="auto"/>
            </w:pPr>
            <w:r>
              <w:rPr>
                <w:b/>
                <w:sz w:val="20"/>
              </w:rPr>
              <w:t>Факт</w:t>
            </w:r>
          </w:p>
        </w:tc>
      </w:tr>
      <w:tr>
        <w:tc>
          <w:tcPr>
            <w:tcW w:type="dxa" w:w="3194"/>
          </w:tcPr>
          <w:p>
            <w:pPr>
              <w:spacing w:after="60" w:line="240" w:lineRule="auto"/>
            </w:pPr>
            <w:r>
              <w:rPr>
                <w:sz w:val="20"/>
              </w:rPr>
              <w:t>Сервер доступен</w:t>
            </w:r>
          </w:p>
        </w:tc>
        <w:tc>
          <w:tcPr>
            <w:tcW w:type="dxa" w:w="3194"/>
          </w:tcPr>
          <w:p>
            <w:pPr>
              <w:spacing w:after="60" w:line="240" w:lineRule="auto"/>
            </w:pPr>
            <w:r>
              <w:rPr>
                <w:sz w:val="20"/>
              </w:rPr>
              <w:t>Свежий ответ и совпадающий кэш</w:t>
            </w:r>
          </w:p>
        </w:tc>
        <w:tc>
          <w:tcPr>
            <w:tcW w:type="dxa" w:w="3194"/>
          </w:tcPr>
          <w:p>
            <w:pPr>
              <w:spacing w:after="60" w:line="240" w:lineRule="auto"/>
            </w:pPr>
            <w:r>
              <w:rPr>
                <w:sz w:val="20"/>
              </w:rPr>
              <w:t xml:space="preserve">2 записи, </w:t>
            </w:r>
            <w:r>
              <w:rPr>
                <w:rFonts w:ascii="Liberation Mono" w:hAnsi="Liberation Mono"/>
                <w:sz w:val="20"/>
              </w:rPr>
              <w:t>SERVER</w:t>
            </w:r>
            <w:r>
              <w:rPr>
                <w:sz w:val="20"/>
              </w:rPr>
              <w:t>, время сохранено</w:t>
            </w:r>
          </w:p>
        </w:tc>
      </w:tr>
      <w:tr>
        <w:tc>
          <w:tcPr>
            <w:tcW w:type="dxa" w:w="3194"/>
          </w:tcPr>
          <w:p>
            <w:pPr>
              <w:spacing w:after="60" w:line="240" w:lineRule="auto"/>
            </w:pPr>
            <w:r>
              <w:rPr>
                <w:sz w:val="20"/>
              </w:rPr>
              <w:t>Сервер недоступен</w:t>
            </w:r>
          </w:p>
        </w:tc>
        <w:tc>
          <w:tcPr>
            <w:tcW w:type="dxa" w:w="3194"/>
          </w:tcPr>
          <w:p>
            <w:pPr>
              <w:spacing w:after="60" w:line="240" w:lineRule="auto"/>
            </w:pPr>
            <w:r>
              <w:rPr>
                <w:sz w:val="20"/>
              </w:rPr>
              <w:t>Последняя подтверждённая копия</w:t>
            </w:r>
          </w:p>
        </w:tc>
        <w:tc>
          <w:tcPr>
            <w:tcW w:type="dxa" w:w="3194"/>
          </w:tcPr>
          <w:p>
            <w:pPr>
              <w:spacing w:after="60" w:line="240" w:lineRule="auto"/>
            </w:pPr>
            <w:r>
              <w:rPr>
                <w:sz w:val="20"/>
              </w:rPr>
              <w:t xml:space="preserve">2 попытки, затем </w:t>
            </w:r>
            <w:r>
              <w:rPr>
                <w:rFonts w:ascii="Liberation Mono" w:hAnsi="Liberation Mono"/>
                <w:sz w:val="20"/>
              </w:rPr>
              <w:t>CACHE</w:t>
            </w:r>
            <w:r>
              <w:rPr>
                <w:sz w:val="20"/>
              </w:rPr>
              <w:t xml:space="preserve"> с исходным временем</w:t>
            </w:r>
          </w:p>
        </w:tc>
      </w:tr>
      <w:tr>
        <w:tc>
          <w:tcPr>
            <w:tcW w:type="dxa" w:w="3194"/>
          </w:tcPr>
          <w:p>
            <w:pPr>
              <w:spacing w:after="60" w:line="240" w:lineRule="auto"/>
            </w:pPr>
            <w:r>
              <w:rPr>
                <w:sz w:val="20"/>
              </w:rPr>
              <w:t>Кэша нет</w:t>
            </w:r>
          </w:p>
        </w:tc>
        <w:tc>
          <w:tcPr>
            <w:tcW w:type="dxa" w:w="3194"/>
          </w:tcPr>
          <w:p>
            <w:pPr>
              <w:spacing w:after="60" w:line="240" w:lineRule="auto"/>
            </w:pPr>
            <w:r>
              <w:rPr>
                <w:sz w:val="20"/>
              </w:rPr>
              <w:t>Явное пустое состояние</w:t>
            </w:r>
          </w:p>
        </w:tc>
        <w:tc>
          <w:tcPr>
            <w:tcW w:type="dxa" w:w="3194"/>
          </w:tcPr>
          <w:p>
            <w:pPr>
              <w:spacing w:after="60" w:line="240" w:lineRule="auto"/>
            </w:pPr>
            <w:r>
              <w:rPr>
                <w:rFonts w:ascii="Liberation Mono" w:hAnsi="Liberation Mono"/>
                <w:sz w:val="20"/>
              </w:rPr>
              <w:t>Нет сохранённых данных. Повторите запрос.</w:t>
            </w:r>
          </w:p>
        </w:tc>
      </w:tr>
      <w:tr>
        <w:tc>
          <w:tcPr>
            <w:tcW w:type="dxa" w:w="3194"/>
          </w:tcPr>
          <w:p>
            <w:pPr>
              <w:spacing w:after="60" w:line="240" w:lineRule="auto"/>
            </w:pPr>
            <w:r>
              <w:rPr>
                <w:sz w:val="20"/>
              </w:rPr>
              <w:t>Копия кэша повреждена</w:t>
            </w:r>
          </w:p>
        </w:tc>
        <w:tc>
          <w:tcPr>
            <w:tcW w:type="dxa" w:w="3194"/>
          </w:tcPr>
          <w:p>
            <w:pPr>
              <w:spacing w:after="60" w:line="240" w:lineRule="auto"/>
            </w:pPr>
            <w:r>
              <w:rPr>
                <w:sz w:val="20"/>
              </w:rPr>
              <w:t>Явная ошибка чтения</w:t>
            </w:r>
          </w:p>
        </w:tc>
        <w:tc>
          <w:tcPr>
            <w:tcW w:type="dxa" w:w="3194"/>
          </w:tcPr>
          <w:p>
            <w:pPr>
              <w:spacing w:after="60" w:line="240" w:lineRule="auto"/>
            </w:pPr>
            <w:r>
              <w:rPr>
                <w:sz w:val="20"/>
              </w:rPr>
              <w:t>Ошибка показана, основной кэш не повреждён</w:t>
            </w:r>
          </w:p>
        </w:tc>
      </w:tr>
      <w:tr>
        <w:tc>
          <w:tcPr>
            <w:tcW w:type="dxa" w:w="3194"/>
          </w:tcPr>
          <w:p>
            <w:pPr>
              <w:spacing w:after="60" w:line="240" w:lineRule="auto"/>
            </w:pPr>
            <w:r>
              <w:rPr>
                <w:sz w:val="20"/>
              </w:rPr>
              <w:t>Сервер прислал плохой JSON</w:t>
            </w:r>
          </w:p>
        </w:tc>
        <w:tc>
          <w:tcPr>
            <w:tcW w:type="dxa" w:w="3194"/>
          </w:tcPr>
          <w:p>
            <w:pPr>
              <w:spacing w:after="60" w:line="240" w:lineRule="auto"/>
            </w:pPr>
            <w:r>
              <w:rPr>
                <w:sz w:val="20"/>
              </w:rPr>
              <w:t>Хороший кэш не заменён</w:t>
            </w:r>
          </w:p>
        </w:tc>
        <w:tc>
          <w:tcPr>
            <w:tcW w:type="dxa" w:w="3194"/>
          </w:tcPr>
          <w:p>
            <w:pPr>
              <w:spacing w:after="60" w:line="240" w:lineRule="auto"/>
            </w:pPr>
            <w:r>
              <w:rPr>
                <w:sz w:val="20"/>
              </w:rPr>
              <w:t>Содержимое файла до и после совпало</w:t>
            </w:r>
          </w:p>
        </w:tc>
      </w:tr>
      <w:tr>
        <w:tc>
          <w:tcPr>
            <w:tcW w:type="dxa" w:w="3194"/>
          </w:tcPr>
          <w:p>
            <w:pPr>
              <w:spacing w:after="60" w:line="240" w:lineRule="auto"/>
            </w:pPr>
            <w:r>
              <w:rPr>
                <w:sz w:val="20"/>
              </w:rPr>
              <w:t>Два обновления одновременно</w:t>
            </w:r>
          </w:p>
        </w:tc>
        <w:tc>
          <w:tcPr>
            <w:tcW w:type="dxa" w:w="3194"/>
          </w:tcPr>
          <w:p>
            <w:pPr>
              <w:spacing w:after="60" w:line="240" w:lineRule="auto"/>
            </w:pPr>
            <w:r>
              <w:rPr>
                <w:sz w:val="20"/>
              </w:rPr>
              <w:t>Один активный запрос</w:t>
            </w:r>
          </w:p>
        </w:tc>
        <w:tc>
          <w:tcPr>
            <w:tcW w:type="dxa" w:w="3194"/>
          </w:tcPr>
          <w:p>
            <w:pPr>
              <w:spacing w:after="60" w:line="240" w:lineRule="auto"/>
            </w:pPr>
            <w:r>
              <w:rPr>
                <w:sz w:val="20"/>
              </w:rPr>
              <w:t>Второй запрос отклонён до запуска HTTP</w:t>
            </w:r>
          </w:p>
        </w:tc>
      </w:tr>
    </w:tbl>
    <w:p/>
    <w:p>
      <w:pPr>
        <w:pStyle w:val="CodeBlock"/>
      </w:pPr>
      <w:r>
        <w:t>./gradlew clean runCacheOfflineDemo</w:t>
      </w:r>
    </w:p>
    <w:p>
      <w:r>
        <w:t xml:space="preserve">Результат: </w:t>
      </w:r>
      <w:r>
        <w:rPr>
          <w:rFonts w:ascii="Liberation Mono" w:hAnsi="Liberation Mono"/>
          <w:sz w:val="20"/>
        </w:rPr>
        <w:t>BUILD SUCCESSFUL</w:t>
      </w:r>
      <w:r>
        <w:t xml:space="preserve">. Протокол: </w:t>
      </w:r>
      <w:r>
        <w:rPr>
          <w:rFonts w:ascii="Liberation Mono" w:hAnsi="Liberation Mono"/>
          <w:sz w:val="20"/>
        </w:rPr>
        <w:t>project/evidence/P16_cache_offline.txt</w:t>
      </w:r>
      <w:r>
        <w:t>. Регрессии P15 и P14 пройдены.</w:t>
      </w:r>
    </w:p>
    <w:p>
      <w:pPr>
        <w:pStyle w:val="Heading1"/>
      </w:pPr>
      <w:r>
        <w:t>Ответы</w:t>
      </w:r>
    </w:p>
    <w:p>
      <w:pPr>
        <w:pStyle w:val="ListNumber"/>
      </w:pPr>
      <w:r>
        <w:t>Источник и время нужны, чтобы пользователь отличал актуальный ответ сервера от</w:t>
      </w:r>
    </w:p>
    <w:p>
      <w:r>
        <w:t>устаревшей автономной копии и мог оценить её пригодность.</w:t>
      </w:r>
    </w:p>
    <w:p>
      <w:pPr>
        <w:pStyle w:val="ListNumber"/>
      </w:pPr>
      <w:r>
        <w:t>Скрытая ошибка возможна, если повреждённый или неполный ответ записать до полной</w:t>
      </w:r>
    </w:p>
    <w:p>
      <w:r>
        <w:t>проверки. Поэтому кэш меняется только после успешного разбора всего набора.</w:t>
      </w:r>
    </w:p>
    <w:p>
      <w:pPr>
        <w:pStyle w:val="ListNumber"/>
      </w:pPr>
      <w:r>
        <w:t>В трекере устаревший справочник допустим: это вспомогательные типы и рекомендации,</w:t>
      </w:r>
    </w:p>
    <w:p>
      <w:r>
        <w:t>а не критические данные; сохранённая история тренировок от него не меняется.</w:t>
      </w:r>
    </w:p>
    <w:p>
      <w:pPr>
        <w:pStyle w:val="Heading1"/>
      </w:pPr>
      <w:r>
        <w:t>Иллюстрации и протоколы для отправки</w:t>
      </w:r>
    </w:p>
    <w:p>
      <w:r>
        <w:t>Снимок ниже показывает окно просмотра сохранённого фактического протокола этой практики. Он не заменяет исходный текстовый файл и не означает повторный запуск всех команд при подготовке отчёта.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083999" cy="4977817"/>
            <wp:docPr id="1" name="Picture 1" descr="Просмотр фактического протокола проверки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evidence-view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83999" cy="49778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Просмотр фактического протокола проверки</w:t>
      </w:r>
    </w:p>
    <w:sectPr w:rsidR="00FC693F" w:rsidRPr="0006063C" w:rsidSect="00034616">
      <w:footerReference w:type="default" r:id="rId9"/>
      <w:pgSz w:w="11906" w:h="16838"/>
      <w:pgMar w:top="1020" w:right="1020" w:bottom="1020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00" w:line="276" w:lineRule="auto"/>
    </w:pPr>
    <w:rPr>
      <w:rFonts w:ascii="Times New Roman" w:hAnsi="Times New Roman" w:eastAsia="Times New Roman" w:cs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00" w:line="276" w:lineRule="auto"/>
      <w:outlineLvl w:val="0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 w:line="276" w:lineRule="auto"/>
      <w:outlineLvl w:val="1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100" w:line="276" w:lineRule="auto"/>
      <w:outlineLvl w:val="2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00" w:line="276" w:lineRule="auto"/>
      <w:contextualSpacing/>
    </w:pPr>
    <w:rPr>
      <w:rFonts w:asciiTheme="majorHAnsi" w:eastAsiaTheme="majorEastAsia" w:hAnsiTheme="majorHAnsi" w:cstheme="majorBidi" w:ascii="Times New Roman" w:hAnsi="Times New Roman" w:eastAsia="Times New Roman" w:cs="Times New Roman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76" w:lineRule="auto" w:after="100"/>
    </w:pPr>
    <w:rPr>
      <w:rFonts w:ascii="Times New Roman" w:hAnsi="Times New Roman" w:eastAsia="Times New Roman" w:cs="Times New Roman"/>
      <w:b/>
      <w:bCs/>
      <w:color w:val="000000"/>
      <w:sz w:val="22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line="240" w:lineRule="auto" w:after="40"/>
    </w:pPr>
    <w:rPr>
      <w:rFonts w:ascii="Liberation Mono" w:hAnsi="Liberation Mono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Практическая работа P16 — кэш и автономный режим</dc:title>
  <dc:subject>Практическая работа JVM</dc:subject>
  <dc:creator>Георгий Петросян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