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Практическая работа P18 интеграционные и интерфейсные проверки</w:t>
      </w:r>
    </w:p>
    <w:p>
      <w:r>
        <w:t>Выполнил: Георгий Петросян</w:t>
      </w:r>
    </w:p>
    <w:p>
      <w:pPr>
        <w:pStyle w:val="Heading1"/>
      </w:pPr>
      <w:r>
        <w:t>Результат</w:t>
      </w:r>
    </w:p>
    <w:p>
      <w:r>
        <w:t>Регрессионный набор теперь подтверждает полный путь данных: пользователь вводит тренировку в загруженную из FXML форму, контроллер вызывает сервис, сервис сохраняет объект через настоящий JDBC-репозиторий, а повторно открытая SQLite возвращает запись.</w:t>
      </w:r>
    </w:p>
    <w:p>
      <w:pPr>
        <w:pStyle w:val="Heading1"/>
      </w:pPr>
      <w:r>
        <w:t>Проверки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94"/>
        <w:gridCol w:w="3194"/>
        <w:gridCol w:w="3194"/>
      </w:tblGrid>
      <w:tr>
        <w:trPr>
          <w:tblHeader/>
        </w:trPr>
        <w:tc>
          <w:tcPr>
            <w:tcW w:type="dxa" w:w="3194"/>
          </w:tcPr>
          <w:p>
            <w:pPr>
              <w:spacing w:after="60" w:line="240" w:lineRule="auto"/>
            </w:pPr>
            <w:r>
              <w:rPr>
                <w:b/>
                <w:sz w:val="20"/>
              </w:rPr>
              <w:t>Сценарий</w:t>
            </w:r>
          </w:p>
        </w:tc>
        <w:tc>
          <w:tcPr>
            <w:tcW w:type="dxa" w:w="3194"/>
          </w:tcPr>
          <w:p>
            <w:pPr>
              <w:spacing w:after="60" w:line="240" w:lineRule="auto"/>
            </w:pPr>
            <w:r>
              <w:rPr>
                <w:b/>
                <w:sz w:val="20"/>
              </w:rPr>
              <w:t>Ожидание</w:t>
            </w:r>
          </w:p>
        </w:tc>
        <w:tc>
          <w:tcPr>
            <w:tcW w:type="dxa" w:w="3194"/>
          </w:tcPr>
          <w:p>
            <w:pPr>
              <w:spacing w:after="60" w:line="240" w:lineRule="auto"/>
            </w:pPr>
            <w:r>
              <w:rPr>
                <w:b/>
                <w:sz w:val="20"/>
              </w:rPr>
              <w:t>Факт</w:t>
            </w:r>
          </w:p>
        </w:tc>
      </w:tr>
      <w:tr>
        <w:tc>
          <w:tcPr>
            <w:tcW w:type="dxa" w:w="3194"/>
          </w:tcPr>
          <w:p>
            <w:pPr>
              <w:spacing w:after="60" w:line="240" w:lineRule="auto"/>
            </w:pPr>
            <w:r>
              <w:rPr>
                <w:sz w:val="20"/>
              </w:rPr>
              <w:t>Ресурсы приложения</w:t>
            </w:r>
          </w:p>
        </w:tc>
        <w:tc>
          <w:tcPr>
            <w:tcW w:type="dxa" w:w="3194"/>
          </w:tcPr>
          <w:p>
            <w:pPr>
              <w:spacing w:after="60" w:line="240" w:lineRule="auto"/>
            </w:pPr>
            <w:r>
              <w:rPr>
                <w:sz w:val="20"/>
              </w:rPr>
              <w:t>FXML и CSS доступны из classpath</w:t>
            </w:r>
          </w:p>
        </w:tc>
        <w:tc>
          <w:tcPr>
            <w:tcW w:type="dxa" w:w="3194"/>
          </w:tcPr>
          <w:p>
            <w:pPr>
              <w:spacing w:after="60" w:line="240" w:lineRule="auto"/>
            </w:pPr>
            <w:r>
              <w:rPr>
                <w:sz w:val="20"/>
              </w:rPr>
              <w:t>Оба URL найдены, FXML успешно загружен</w:t>
            </w:r>
          </w:p>
        </w:tc>
      </w:tr>
      <w:tr>
        <w:tc>
          <w:tcPr>
            <w:tcW w:type="dxa" w:w="3194"/>
          </w:tcPr>
          <w:p>
            <w:pPr>
              <w:spacing w:after="60" w:line="240" w:lineRule="auto"/>
            </w:pPr>
            <w:r>
              <w:rPr>
                <w:sz w:val="20"/>
              </w:rPr>
              <w:t>Короткий UI-маршрут</w:t>
            </w:r>
          </w:p>
        </w:tc>
        <w:tc>
          <w:tcPr>
            <w:tcW w:type="dxa" w:w="3194"/>
          </w:tcPr>
          <w:p>
            <w:pPr>
              <w:spacing w:after="60" w:line="240" w:lineRule="auto"/>
            </w:pPr>
            <w:r>
              <w:rPr>
                <w:sz w:val="20"/>
              </w:rPr>
              <w:t>Кнопка добавляет одну строку</w:t>
            </w:r>
          </w:p>
        </w:tc>
        <w:tc>
          <w:tcPr>
            <w:tcW w:type="dxa" w:w="3194"/>
          </w:tcPr>
          <w:p>
            <w:pPr>
              <w:spacing w:after="60" w:line="240" w:lineRule="auto"/>
            </w:pPr>
            <w:r>
              <w:rPr>
                <w:sz w:val="20"/>
              </w:rPr>
              <w:t>Размер таблицы увеличился на 1, сообщение содержит тип</w:t>
            </w:r>
          </w:p>
        </w:tc>
      </w:tr>
      <w:tr>
        <w:tc>
          <w:tcPr>
            <w:tcW w:type="dxa" w:w="3194"/>
          </w:tcPr>
          <w:p>
            <w:pPr>
              <w:spacing w:after="60" w:line="240" w:lineRule="auto"/>
            </w:pPr>
            <w:r>
              <w:rPr>
                <w:sz w:val="20"/>
              </w:rPr>
              <w:t>Ввод → SQLite</w:t>
            </w:r>
          </w:p>
        </w:tc>
        <w:tc>
          <w:tcPr>
            <w:tcW w:type="dxa" w:w="3194"/>
          </w:tcPr>
          <w:p>
            <w:pPr>
              <w:spacing w:after="60" w:line="240" w:lineRule="auto"/>
            </w:pPr>
            <w:r>
              <w:rPr>
                <w:sz w:val="20"/>
              </w:rPr>
              <w:t>Данные переживают повторное открытие</w:t>
            </w:r>
          </w:p>
        </w:tc>
        <w:tc>
          <w:tcPr>
            <w:tcW w:type="dxa" w:w="3194"/>
          </w:tcPr>
          <w:p>
            <w:pPr>
              <w:spacing w:after="60" w:line="240" w:lineRule="auto"/>
            </w:pPr>
            <w:r>
              <w:rPr>
                <w:rFonts w:ascii="Liberation Mono" w:hAnsi="Liberation Mono"/>
                <w:sz w:val="20"/>
              </w:rPr>
              <w:t>Интервальный бег</w:t>
            </w:r>
            <w:r>
              <w:rPr>
                <w:sz w:val="20"/>
              </w:rPr>
              <w:t xml:space="preserve"> найден в новой инстанции репозитория</w:t>
            </w:r>
          </w:p>
        </w:tc>
      </w:tr>
      <w:tr>
        <w:tc>
          <w:tcPr>
            <w:tcW w:type="dxa" w:w="3194"/>
          </w:tcPr>
          <w:p>
            <w:pPr>
              <w:spacing w:after="60" w:line="240" w:lineRule="auto"/>
            </w:pPr>
            <w:r>
              <w:rPr>
                <w:sz w:val="20"/>
              </w:rPr>
              <w:t>Изоляция</w:t>
            </w:r>
          </w:p>
        </w:tc>
        <w:tc>
          <w:tcPr>
            <w:tcW w:type="dxa" w:w="3194"/>
          </w:tcPr>
          <w:p>
            <w:pPr>
              <w:spacing w:after="60" w:line="240" w:lineRule="auto"/>
            </w:pPr>
            <w:r>
              <w:rPr>
                <w:sz w:val="20"/>
              </w:rPr>
              <w:t>Рабочая база не используется</w:t>
            </w:r>
          </w:p>
        </w:tc>
        <w:tc>
          <w:tcPr>
            <w:tcW w:type="dxa" w:w="3194"/>
          </w:tcPr>
          <w:p>
            <w:pPr>
              <w:spacing w:after="60" w:line="240" w:lineRule="auto"/>
            </w:pPr>
            <w:r>
              <w:rPr>
                <w:sz w:val="20"/>
              </w:rPr>
              <w:t xml:space="preserve">База создана JUnit в </w:t>
            </w:r>
            <w:r>
              <w:rPr>
                <w:rFonts w:ascii="Liberation Mono" w:hAnsi="Liberation Mono"/>
                <w:sz w:val="20"/>
              </w:rPr>
              <w:t>@TempDir</w:t>
            </w:r>
          </w:p>
        </w:tc>
      </w:tr>
      <w:tr>
        <w:tc>
          <w:tcPr>
            <w:tcW w:type="dxa" w:w="3194"/>
          </w:tcPr>
          <w:p>
            <w:pPr>
              <w:spacing w:after="60" w:line="240" w:lineRule="auto"/>
            </w:pPr>
            <w:r>
              <w:rPr>
                <w:sz w:val="20"/>
              </w:rPr>
              <w:t>Синхронизация</w:t>
            </w:r>
          </w:p>
        </w:tc>
        <w:tc>
          <w:tcPr>
            <w:tcW w:type="dxa" w:w="3194"/>
          </w:tcPr>
          <w:p>
            <w:pPr>
              <w:spacing w:after="60" w:line="240" w:lineRule="auto"/>
            </w:pPr>
            <w:r>
              <w:rPr>
                <w:sz w:val="20"/>
              </w:rPr>
              <w:t>Нет хрупкого ожидания</w:t>
            </w:r>
          </w:p>
        </w:tc>
        <w:tc>
          <w:tcPr>
            <w:tcW w:type="dxa" w:w="3194"/>
          </w:tcPr>
          <w:p>
            <w:pPr>
              <w:spacing w:after="60" w:line="240" w:lineRule="auto"/>
            </w:pPr>
            <w:r>
              <w:rPr>
                <w:sz w:val="20"/>
              </w:rPr>
              <w:t xml:space="preserve">Использован </w:t>
            </w:r>
            <w:r>
              <w:rPr>
                <w:rFonts w:ascii="Liberation Mono" w:hAnsi="Liberation Mono"/>
                <w:sz w:val="20"/>
              </w:rPr>
              <w:t>FutureTask</w:t>
            </w:r>
            <w:r>
              <w:rPr>
                <w:sz w:val="20"/>
              </w:rPr>
              <w:t xml:space="preserve">, </w:t>
            </w:r>
            <w:r>
              <w:rPr>
                <w:rFonts w:ascii="Liberation Mono" w:hAnsi="Liberation Mono"/>
                <w:sz w:val="20"/>
              </w:rPr>
              <w:t>sleep</w:t>
            </w:r>
            <w:r>
              <w:rPr>
                <w:sz w:val="20"/>
              </w:rPr>
              <w:t xml:space="preserve"> отсутствует</w:t>
            </w:r>
          </w:p>
        </w:tc>
      </w:tr>
    </w:tbl>
    <w:p/>
    <w:p>
      <w:pPr>
        <w:pStyle w:val="CodeBlock"/>
      </w:pPr>
      <w:r>
        <w:t>./gradlew clean test</w:t>
      </w:r>
    </w:p>
    <w:p>
      <w:r>
        <w:t xml:space="preserve">Результат: 10 тестов </w:t>
      </w:r>
      <w:r>
        <w:rPr>
          <w:rFonts w:ascii="Liberation Mono" w:hAnsi="Liberation Mono"/>
          <w:sz w:val="20"/>
        </w:rPr>
        <w:t>PASSED</w:t>
      </w:r>
      <w:r>
        <w:t xml:space="preserve">, </w:t>
      </w:r>
      <w:r>
        <w:rPr>
          <w:rFonts w:ascii="Liberation Mono" w:hAnsi="Liberation Mono"/>
          <w:sz w:val="20"/>
        </w:rPr>
        <w:t>BUILD SUCCESSFUL</w:t>
      </w:r>
      <w:r>
        <w:t xml:space="preserve">. Протокол: </w:t>
      </w:r>
      <w:r>
        <w:rPr>
          <w:rFonts w:ascii="Liberation Mono" w:hAnsi="Liberation Mono"/>
          <w:sz w:val="20"/>
        </w:rPr>
        <w:t>project/evidence/P18_integration_ui.txt</w:t>
      </w:r>
      <w:r>
        <w:t>. Unit- и интеграционные проверки P17 остались зелёными.</w:t>
      </w:r>
    </w:p>
    <w:p>
      <w:pPr>
        <w:pStyle w:val="Heading1"/>
      </w:pPr>
      <w:r>
        <w:t>Вывод</w:t>
      </w:r>
    </w:p>
    <w:p>
      <w:r>
        <w:t>Раздельные проверки локализуют дефект: тест ресурсов указывает на упаковку FXML/CSS, тест SQLite — на адаптер хранения, короткий пользовательский маршрут — на связь формы, контроллера и сервиса. Сквозной тест дополняет их и подтверждает совместную работу компонентов, не заменяя более быстрые проверки.</w:t>
      </w:r>
    </w:p>
    <w:p>
      <w:pPr>
        <w:pStyle w:val="Heading1"/>
      </w:pPr>
      <w:r>
        <w:t>Иллюстрации и протоколы для отправки</w:t>
      </w:r>
    </w:p>
    <w:p>
      <w:r>
        <w:t>Снимок ниже показывает окно просмотра сохранённого фактического протокола этой практики. Он не заменяет исходный текстовый файл и не означает повторный запуск всех команд при подготовке отчёта.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083999" cy="4977817"/>
            <wp:docPr id="1" name="Picture 1" descr="Просмотр фактического протокола проверки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evidence-view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83999" cy="49778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Просмотр фактического протокола проверки</w:t>
      </w:r>
    </w:p>
    <w:sectPr w:rsidR="00FC693F" w:rsidRPr="0006063C" w:rsidSect="00034616">
      <w:footerReference w:type="default" r:id="rId9"/>
      <w:pgSz w:w="11906" w:h="16838"/>
      <w:pgMar w:top="1020" w:right="1020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00" w:line="276" w:lineRule="auto"/>
    </w:pPr>
    <w:rPr>
      <w:rFonts w:ascii="Times New Roman" w:hAnsi="Times New Roman" w:eastAsia="Times New Roman" w:cs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 w:line="276" w:lineRule="auto"/>
      <w:outlineLvl w:val="0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 w:line="276" w:lineRule="auto"/>
      <w:outlineLvl w:val="1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00" w:line="276" w:lineRule="auto"/>
      <w:outlineLvl w:val="2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 w:line="276" w:lineRule="auto"/>
      <w:contextualSpacing/>
    </w:pPr>
    <w:rPr>
      <w:rFonts w:asciiTheme="majorHAnsi" w:eastAsiaTheme="majorEastAsia" w:hAnsiTheme="majorHAnsi" w:cstheme="majorBidi" w:ascii="Times New Roman" w:hAnsi="Times New Roman" w:eastAsia="Times New Roman" w:cs="Times New Roman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76" w:lineRule="auto" w:after="100"/>
    </w:pPr>
    <w:rPr>
      <w:rFonts w:ascii="Times New Roman" w:hAnsi="Times New Roman" w:eastAsia="Times New Roman" w:cs="Times New Roman"/>
      <w:b/>
      <w:bCs/>
      <w:color w:val="000000"/>
      <w:sz w:val="22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line="240" w:lineRule="auto" w:after="40"/>
    </w:pPr>
    <w:rPr>
      <w:rFonts w:ascii="Liberation Mono" w:hAnsi="Liberation Mono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Практическая работа P18 — интеграционные и интерфейсные проверки</dc:title>
  <dc:subject>Практическая работа JVM</dc:subject>
  <dc:creator>Георгий Петросян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