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P21 JAR и ServiceLoader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 xml:space="preserve">Собран исполняемый </w:t>
      </w:r>
      <w:r>
        <w:rPr>
          <w:rFonts w:ascii="Liberation Mono" w:hAnsi="Liberation Mono"/>
          <w:sz w:val="20"/>
        </w:rPr>
        <w:t>workout-tracker.jar</w:t>
      </w:r>
      <w:r>
        <w:t xml:space="preserve"> с учебной точкой входа. </w:t>
      </w:r>
      <w:r>
        <w:rPr>
          <w:rFonts w:ascii="Liberation Mono" w:hAnsi="Liberation Mono"/>
          <w:sz w:val="20"/>
        </w:rPr>
        <w:t>ServiceLoader</w:t>
      </w:r>
      <w:r>
        <w:t xml:space="preserve"> обнаруживает два поставщика отчётов через стандартный ресурс </w:t>
      </w:r>
      <w:r>
        <w:rPr>
          <w:rFonts w:ascii="Liberation Mono" w:hAnsi="Liberation Mono"/>
          <w:sz w:val="20"/>
        </w:rPr>
        <w:t>META-INF/services</w:t>
      </w:r>
      <w:r>
        <w:t>, не создавая реализации в клиентском коде.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JUnit-контракт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Два уникальных поставщика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Найдены </w:t>
            </w:r>
            <w:r>
              <w:rPr>
                <w:rFonts w:ascii="Liberation Mono" w:hAnsi="Liberation Mono"/>
                <w:sz w:val="20"/>
              </w:rPr>
              <w:t>status-summary</w:t>
            </w:r>
            <w:r>
              <w:rPr>
                <w:sz w:val="20"/>
              </w:rPr>
              <w:t xml:space="preserve"> и </w:t>
            </w:r>
            <w:r>
              <w:rPr>
                <w:rFonts w:ascii="Liberation Mono" w:hAnsi="Liberation Mono"/>
                <w:sz w:val="20"/>
              </w:rPr>
              <w:t>type-summary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Запуск Gradle из JAR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 classpath только архив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Оба отчёта выполнены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Прямой </w:t>
            </w:r>
            <w:r>
              <w:rPr>
                <w:rFonts w:ascii="Liberation Mono" w:hAnsi="Liberation Mono"/>
                <w:sz w:val="20"/>
              </w:rPr>
              <w:t>java -jar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Работает манифест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Пример завершён успешно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Содержимое JAR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Классы и регистрационный ресурс присутствуют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Подтверждено </w:t>
            </w:r>
            <w:r>
              <w:rPr>
                <w:rFonts w:ascii="Liberation Mono" w:hAnsi="Liberation Mono"/>
                <w:sz w:val="20"/>
              </w:rPr>
              <w:t>jar tf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Анализ модулей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Список модулей воспроизводим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Получены 5 модулей JDK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Регрессия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Предыдущие функции работают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Все 19 тестов </w:t>
            </w:r>
            <w:r>
              <w:rPr>
                <w:rFonts w:ascii="Liberation Mono" w:hAnsi="Liberation Mono"/>
                <w:sz w:val="20"/>
              </w:rPr>
              <w:t>PASSED</w:t>
            </w:r>
          </w:p>
        </w:tc>
      </w:tr>
    </w:tbl>
    <w:p/>
    <w:p>
      <w:pPr>
        <w:pStyle w:val="CodeBlock"/>
      </w:pPr>
      <w:r>
        <w:t>./gradlew clean test jar runServiceLoaderJar</w:t>
      </w:r>
    </w:p>
    <w:p>
      <w:pPr>
        <w:pStyle w:val="CodeBlock"/>
      </w:pPr>
      <w:r>
        <w:t>java -jar build/libs/workout-tracker.jar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Протокол: </w:t>
      </w:r>
      <w:r>
        <w:rPr>
          <w:rFonts w:ascii="Liberation Mono" w:hAnsi="Liberation Mono"/>
          <w:sz w:val="20"/>
        </w:rPr>
        <w:t>project/evidence/P21_jar_service_loader.txt</w:t>
      </w:r>
      <w:r>
        <w:t>.</w:t>
      </w:r>
    </w:p>
    <w:p>
      <w:pPr>
        <w:pStyle w:val="Heading1"/>
      </w:pPr>
      <w:r>
        <w:t>Вывод</w:t>
      </w:r>
    </w:p>
    <w:p>
      <w:r>
        <w:t xml:space="preserve">JAR — архив классов и ресурсов, но не собственная среда Java. </w:t>
      </w:r>
      <w:r>
        <w:rPr>
          <w:rFonts w:ascii="Liberation Mono" w:hAnsi="Liberation Mono"/>
          <w:sz w:val="20"/>
        </w:rPr>
        <w:t>ServiceLoader</w:t>
      </w:r>
      <w:r>
        <w:t xml:space="preserve"> разделяет контракт и поставщиков: клиент знает интерфейс, а список реализаций задаёт ресурс архива. Полный образ со средой выполнения относится к следующей практике.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P21 — JAR и ServiceLoader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