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40903">
      <w:pPr>
        <w:rPr>
          <w:rFonts w:hint="eastAsia"/>
        </w:rPr>
      </w:pPr>
      <w:r>
        <w:rPr>
          <w:rFonts w:hint="eastAsia"/>
        </w:rPr>
        <w:t>系统底层规划引擎基于 PPO-GNN 深度强化学习框架，训练过程在 Linux 环境下完成，输出规划结果文件和模型权重。</w:t>
      </w:r>
    </w:p>
    <w:p w14:paraId="326D952D">
      <w:pPr>
        <w:rPr>
          <w:rFonts w:hint="eastAsia"/>
        </w:rPr>
      </w:pPr>
    </w:p>
    <w:p w14:paraId="2F91609A">
      <w:pPr>
        <w:rPr>
          <w:rFonts w:hint="eastAsia"/>
        </w:rPr>
      </w:pPr>
      <w:r>
        <w:rPr>
          <w:rFonts w:hint="eastAsia"/>
        </w:rPr>
        <w:t>比赛演示端采用 Windows + Streamlit 部署，主要负责自然语言交互、多Agent需求协调、RAG政策解释和规划结果可视化。</w:t>
      </w:r>
    </w:p>
    <w:p w14:paraId="0B3661DD">
      <w:pPr>
        <w:rPr>
          <w:rFonts w:hint="eastAsia"/>
        </w:rPr>
      </w:pPr>
    </w:p>
    <w:p w14:paraId="651AA2BC">
      <w:pPr>
        <w:rPr>
          <w:rFonts w:hint="eastAsia"/>
        </w:rPr>
      </w:pPr>
      <w:r>
        <w:rPr>
          <w:rFonts w:hint="eastAsia"/>
        </w:rPr>
        <w:t>这种架构将“高计算训练”和“轻量化应用展示”解耦，保证系统既有算法深度，又能稳定演示。</w:t>
      </w:r>
    </w:p>
    <w:p w14:paraId="6C7282CB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A4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2026-04-30T08:55:19Z</dcterms:created>
  <dc:creator>sage</dc:creator>
  <cp:lastModifiedBy>X.</cp:lastModifiedBy>
  <dcterms:modified xsi:type="dcterms:W3CDTF">2026-04-30T08:55:37Z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eyJoZGlkIjoiNTcyODM4MzhjZDg2NWRmMTExMzMxZjdhZDBkOTBhOGYiLCJ1c2VySWQiOiI4OTA3NjUwNDYifQ==</vt:lpwstr>
  </property>
  <property fmtid="{D5CDD505-2E9C-101B-9397-08002B2CF9AE}" pid="4" name="ICV">
    <vt:lpwstr>8C5AC95D4C784385A6F3E53697FDD870_12</vt:lpwstr>
  </property>
</Properties>
</file>