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40" w:before="0" w:line="324" w:lineRule="auto"/>
      </w:pPr>
      <w:r>
        <w:rPr>
          <w:rFonts w:ascii="Noto Serif CJK SC" w:hAnsi="Noto Serif CJK SC" w:eastAsia="Noto Serif CJK SC" w:cs="Noto Serif CJK SC"/>
          <w:b w:val="0"/>
          <w:i w:val="0"/>
        </w:rPr>
      </w:r>
    </w:p>
    <w:p>
      <w:pPr>
        <w:spacing w:after="200" w:before="0" w:line="324" w:lineRule="auto"/>
        <w:jc w:val="center"/>
      </w:pPr>
      <w:r>
        <w:rPr>
          <w:rFonts w:ascii="Noto Sans CJK SC" w:hAnsi="Noto Sans CJK SC" w:eastAsia="Noto Sans CJK SC" w:cs="Noto Sans CJK SC"/>
          <w:b/>
          <w:i w:val="0"/>
          <w:color w:val="1F4E79"/>
          <w:sz w:val="46"/>
        </w:rPr>
        <w:t>Hazard Scheduler 新奖励函数设计方案</w:t>
      </w:r>
    </w:p>
    <w:p>
      <w:pPr>
        <w:spacing w:after="480" w:before="0" w:line="324" w:lineRule="auto"/>
        <w:jc w:val="center"/>
      </w:pPr>
      <w:r>
        <w:rPr>
          <w:rFonts w:ascii="Noto Sans CJK SC" w:hAnsi="Noto Sans CJK SC" w:eastAsia="Noto Sans CJK SC" w:cs="Noto Sans CJK SC"/>
          <w:b w:val="0"/>
          <w:i w:val="0"/>
          <w:color w:val="5F5F5F"/>
          <w:sz w:val="25"/>
        </w:rPr>
        <w:t>面向样本自适应预算分配的路径级奖励设计（Word整理稿）</w:t>
      </w:r>
    </w:p>
    <w:tbl>
      <w:tblPr>
        <w:tblStyle w:val="TableGrid"/>
        <w:tblW w:type="auto" w:w="0"/>
        <w:jc w:val="center"/>
        <w:tblLayout w:type="fixed"/>
        <w:tblLook w:firstColumn="1" w:firstRow="1" w:lastColumn="0" w:lastRow="0" w:noHBand="0" w:noVBand="1" w:val="04A0"/>
      </w:tblPr>
      <w:tblGrid>
        <w:gridCol w:w="2268"/>
        <w:gridCol w:w="5839"/>
      </w:tblGrid>
      <w:tr>
        <w:trPr>
          <w:tblHeader w:val="true"/>
        </w:trPr>
        <w:tc>
          <w:tcPr>
            <w:tcW w:type="dxa" w:w="4873"/>
            <w:vAlign w:val="center"/>
            <w:tcMar>
              <w:top w:w="120" w:type="dxa"/>
              <w:start w:w="140" w:type="dxa"/>
              <w:bottom w:w="120" w:type="dxa"/>
              <w:end w:w="140" w:type="dxa"/>
            </w:tcMar>
            <w:tcBorders>
              <w:left w:val="single" w:sz="6" w:color="C7D7E7"/>
              <w:top w:val="single" w:sz="6" w:color="C7D7E7"/>
              <w:right w:val="single" w:sz="6" w:color="C7D7E7"/>
              <w:bottom w:val="single" w:sz="6" w:color="C7D7E7"/>
            </w:tcBorders>
            <w:shd w:fill="EAF2F8"/>
          </w:tcPr>
          <w:p>
            <w:pPr>
              <w:spacing w:before="40" w:after="40" w:line="269" w:lineRule="auto"/>
            </w:pPr>
            <w:r>
              <w:rPr>
                <w:rFonts w:ascii="Noto Sans CJK SC" w:hAnsi="Noto Sans CJK SC" w:eastAsia="Noto Sans CJK SC" w:cs="Noto Sans CJK SC"/>
                <w:b/>
                <w:color w:val="1F4E79"/>
                <w:sz w:val="20"/>
              </w:rPr>
              <w:t>文档定位</w:t>
            </w:r>
          </w:p>
        </w:tc>
        <w:tc>
          <w:tcPr>
            <w:tcW w:type="dxa" w:w="4873"/>
            <w:vAlign w:val="center"/>
            <w:tcMar>
              <w:top w:w="120" w:type="dxa"/>
              <w:start w:w="140" w:type="dxa"/>
              <w:bottom w:w="120" w:type="dxa"/>
              <w:end w:w="140" w:type="dxa"/>
            </w:tcMar>
            <w:tcBorders>
              <w:left w:val="single" w:sz="6" w:color="C7D7E7"/>
              <w:top w:val="single" w:sz="6" w:color="C7D7E7"/>
              <w:right w:val="single" w:sz="6" w:color="C7D7E7"/>
              <w:bottom w:val="single" w:sz="6" w:color="C7D7E7"/>
            </w:tcBorders>
            <w:shd w:fill="EAF2F8"/>
          </w:tcPr>
          <w:p>
            <w:pPr>
              <w:spacing w:before="40" w:after="40" w:line="269" w:lineRule="auto"/>
            </w:pPr>
            <w:r>
              <w:rPr>
                <w:rFonts w:ascii="Noto Sans CJK SC" w:hAnsi="Noto Sans CJK SC" w:eastAsia="Noto Sans CJK SC" w:cs="Noto Sans CJK SC"/>
                <w:b/>
                <w:color w:val="1F4E79"/>
                <w:sz w:val="20"/>
              </w:rPr>
              <w:t>技术方案文档 / 奖励函数设计说明</w:t>
            </w:r>
          </w:p>
        </w:tc>
      </w:tr>
      <w:tr>
        <w:tc>
          <w:tcPr>
            <w:tcW w:type="dxa" w:w="4873"/>
            <w:vAlign w:val="center"/>
            <w:tcMar>
              <w:top w:w="120" w:type="dxa"/>
              <w:start w:w="140" w:type="dxa"/>
              <w:bottom w:w="120" w:type="dxa"/>
              <w:end w:w="140" w:type="dxa"/>
            </w:tcMar>
            <w:tcBorders>
              <w:left w:val="single" w:sz="6" w:color="C7D7E7"/>
              <w:top w:val="single" w:sz="6" w:color="C7D7E7"/>
              <w:right w:val="single" w:sz="6" w:color="C7D7E7"/>
              <w:bottom w:val="single" w:sz="6" w:color="C7D7E7"/>
            </w:tcBorders>
          </w:tcPr>
          <w:p>
            <w:pPr>
              <w:spacing w:before="40" w:after="40" w:line="269" w:lineRule="auto"/>
            </w:pPr>
            <w:r>
              <w:rPr>
                <w:rFonts w:ascii="Noto Sans CJK SC" w:hAnsi="Noto Sans CJK SC" w:eastAsia="Noto Sans CJK SC" w:cs="Noto Sans CJK SC"/>
                <w:sz w:val="20"/>
              </w:rPr>
              <w:t>适用对象</w:t>
            </w:r>
          </w:p>
        </w:tc>
        <w:tc>
          <w:tcPr>
            <w:tcW w:type="dxa" w:w="4873"/>
            <w:vAlign w:val="center"/>
            <w:tcMar>
              <w:top w:w="120" w:type="dxa"/>
              <w:start w:w="140" w:type="dxa"/>
              <w:bottom w:w="120" w:type="dxa"/>
              <w:end w:w="140" w:type="dxa"/>
            </w:tcMar>
            <w:tcBorders>
              <w:left w:val="single" w:sz="6" w:color="C7D7E7"/>
              <w:top w:val="single" w:sz="6" w:color="C7D7E7"/>
              <w:right w:val="single" w:sz="6" w:color="C7D7E7"/>
              <w:bottom w:val="single" w:sz="6" w:color="C7D7E7"/>
            </w:tcBorders>
          </w:tcPr>
          <w:p>
            <w:pPr>
              <w:spacing w:before="40" w:after="40" w:line="269" w:lineRule="auto"/>
            </w:pPr>
            <w:r>
              <w:rPr>
                <w:rFonts w:ascii="Noto Sans CJK SC" w:hAnsi="Noto Sans CJK SC" w:eastAsia="Noto Sans CJK SC" w:cs="Noto Sans CJK SC"/>
                <w:sz w:val="20"/>
              </w:rPr>
              <w:t>Hazard Scheduler、LingBot-VA 路径级 PPO 调度训练</w:t>
            </w:r>
          </w:p>
        </w:tc>
      </w:tr>
      <w:tr>
        <w:tc>
          <w:tcPr>
            <w:tcW w:type="dxa" w:w="4873"/>
            <w:vAlign w:val="center"/>
            <w:tcMar>
              <w:top w:w="120" w:type="dxa"/>
              <w:start w:w="140" w:type="dxa"/>
              <w:bottom w:w="120" w:type="dxa"/>
              <w:end w:w="140" w:type="dxa"/>
            </w:tcMar>
            <w:tcBorders>
              <w:left w:val="single" w:sz="6" w:color="C7D7E7"/>
              <w:top w:val="single" w:sz="6" w:color="C7D7E7"/>
              <w:right w:val="single" w:sz="6" w:color="C7D7E7"/>
              <w:bottom w:val="single" w:sz="6" w:color="C7D7E7"/>
            </w:tcBorders>
          </w:tcPr>
          <w:p>
            <w:pPr>
              <w:spacing w:before="40" w:after="40" w:line="269" w:lineRule="auto"/>
            </w:pPr>
            <w:r>
              <w:rPr>
                <w:rFonts w:ascii="Noto Sans CJK SC" w:hAnsi="Noto Sans CJK SC" w:eastAsia="Noto Sans CJK SC" w:cs="Noto Sans CJK SC"/>
                <w:sz w:val="20"/>
              </w:rPr>
              <w:t>设计依据</w:t>
            </w:r>
          </w:p>
        </w:tc>
        <w:tc>
          <w:tcPr>
            <w:tcW w:type="dxa" w:w="4873"/>
            <w:vAlign w:val="center"/>
            <w:tcMar>
              <w:top w:w="120" w:type="dxa"/>
              <w:start w:w="140" w:type="dxa"/>
              <w:bottom w:w="120" w:type="dxa"/>
              <w:end w:w="140" w:type="dxa"/>
            </w:tcMar>
            <w:tcBorders>
              <w:left w:val="single" w:sz="6" w:color="C7D7E7"/>
              <w:top w:val="single" w:sz="6" w:color="C7D7E7"/>
              <w:right w:val="single" w:sz="6" w:color="C7D7E7"/>
              <w:bottom w:val="single" w:sz="6" w:color="C7D7E7"/>
            </w:tcBorders>
          </w:tcPr>
          <w:p>
            <w:pPr>
              <w:spacing w:before="40" w:after="40" w:line="269" w:lineRule="auto"/>
            </w:pPr>
            <w:r>
              <w:rPr>
                <w:rFonts w:ascii="Noto Sans CJK SC" w:hAnsi="Noto Sans CJK SC" w:eastAsia="Noto Sans CJK SC" w:cs="Noto Sans CJK SC"/>
                <w:sz w:val="20"/>
              </w:rPr>
              <w:t>基于现有 Hazard 奖励问题分析、累计 Hazard 统一训练方案，以及本次重构后的样本自适应奖励设计整理而成</w:t>
            </w:r>
          </w:p>
        </w:tc>
      </w:tr>
    </w:tbl>
    <w:p>
      <w:pPr>
        <w:spacing w:after="400"/>
      </w:pPr>
    </w:p>
    <w:tbl>
      <w:tblPr>
        <w:tblW w:type="auto" w:w="0"/>
        <w:jc w:val="center"/>
        <w:tblLook w:firstColumn="1" w:firstRow="1" w:lastColumn="0" w:lastRow="0" w:noHBand="0" w:noVBand="1" w:val="04A0"/>
      </w:tblPr>
      <w:tblGrid>
        <w:gridCol w:w="9746"/>
      </w:tblGrid>
      <w:tr>
        <w:tc>
          <w:tcPr>
            <w:tcW w:type="dxa" w:w="9746"/>
            <w:shd w:fill="EAF2F8"/>
            <w:tcBorders>
              <w:left w:val="single" w:sz="10" w:color="C7D7E7"/>
              <w:top w:val="single" w:sz="10" w:color="C7D7E7"/>
              <w:right w:val="single" w:sz="10" w:color="C7D7E7"/>
              <w:bottom w:val="single" w:sz="10" w:color="C7D7E7"/>
            </w:tcBorders>
            <w:tcMar>
              <w:top w:w="170" w:type="dxa"/>
              <w:start w:w="190" w:type="dxa"/>
              <w:bottom w:w="170" w:type="dxa"/>
              <w:end w:w="190" w:type="dxa"/>
            </w:tcMar>
          </w:tcPr>
          <w:p>
            <w:pPr>
              <w:spacing w:after="100"/>
            </w:pPr>
            <w:r>
              <w:rPr>
                <w:rFonts w:ascii="Noto Sans CJK SC" w:hAnsi="Noto Sans CJK SC" w:eastAsia="Noto Sans CJK SC" w:cs="Noto Sans CJK SC"/>
                <w:b/>
                <w:color w:val="1F4E79"/>
                <w:sz w:val="22"/>
              </w:rPr>
              <w:t>执行摘要</w:t>
            </w:r>
          </w:p>
          <w:p>
            <w:pPr>
              <w:spacing w:after="0" w:line="300" w:lineRule="auto"/>
            </w:pPr>
            <w:r>
              <w:rPr>
                <w:rFonts w:ascii="Noto Serif CJK SC" w:hAnsi="Noto Serif CJK SC" w:eastAsia="Noto Serif CJK SC" w:cs="Noto Serif CJK SC"/>
                <w:color w:val="282828"/>
                <w:sz w:val="21"/>
              </w:rPr>
              <w:t>本方案将原有“绝对动作误差 - 线性视频步数成本”的奖励，重构为“样本自适应语义收益 - 非线性计算成本”的路径级奖励。新的设计同时显式建模首帧动作、整段动作、动作趋势、双锚点归一化、难度加权与凸成本函数，目标是让调度器学出“简单样本早停、困难样本多算、关键阶段多给预算”的行为，而不再塌缩到全局固定低步数策略。</w:t>
            </w:r>
          </w:p>
        </w:tc>
      </w:tr>
    </w:tbl>
    <w:p>
      <w:pPr>
        <w:spacing w:after="20"/>
      </w:pPr>
    </w:p>
    <w:p>
      <w:r>
        <w:br w:type="page"/>
      </w:r>
    </w:p>
    <w:p>
      <w:pPr>
        <w:pStyle w:val="Heading1"/>
        <w:keepNext/>
        <w:spacing w:before="200" w:after="80"/>
      </w:pPr>
      <w:r>
        <w:rPr>
          <w:rFonts w:ascii="Noto Sans CJK SC" w:hAnsi="Noto Sans CJK SC" w:eastAsia="Noto Sans CJK SC" w:cs="Noto Sans CJK SC"/>
          <w:b/>
          <w:color w:val="1F4E79"/>
          <w:sz w:val="30"/>
        </w:rPr>
        <w:t>1. 背景与问题定义</w:t>
      </w:r>
    </w:p>
    <w:p>
      <w:pPr>
        <w:spacing w:after="120" w:before="0" w:line="324" w:lineRule="auto"/>
      </w:pPr>
      <w:r>
        <w:rPr>
          <w:rFonts w:ascii="Noto Serif CJK SC" w:hAnsi="Noto Serif CJK SC" w:eastAsia="Noto Serif CJK SC" w:cs="Noto Serif CJK SC"/>
          <w:b w:val="0"/>
          <w:i w:val="0"/>
        </w:rPr>
      </w:r>
      <w:r>
        <w:rPr>
          <w:rFonts w:ascii="Noto Serif CJK SC" w:hAnsi="Noto Serif CJK SC" w:eastAsia="Noto Serif CJK SC" w:cs="Noto Serif CJK SC"/>
          <w:color w:val="282828"/>
          <w:sz w:val="21"/>
        </w:rPr>
        <w:t>当前 Hazard Scheduler 的路径级训练框架本身并没有问题。现有统一方案已经采用“rollout 一条完整路径，再用 PPO 优化整条路径概率”的范式，问题主要集中在奖励函数过于绝对化：它把动作质量建模得太弱，把计算成本建模得太强，而且缺少样本内归一化与阶段敏感性。结果是模型更容易学到一个全局固定低步数策略，而非真正的状态自适应预算分配。</w:t>
      </w:r>
    </w:p>
    <w:tbl>
      <w:tblPr>
        <w:tblW w:type="auto" w:w="0"/>
        <w:jc w:val="center"/>
        <w:tblLayout w:type="autofit"/>
        <w:tblLook w:firstColumn="1" w:firstRow="1" w:lastColumn="0" w:lastRow="0" w:noHBand="0" w:noVBand="1" w:val="04A0"/>
      </w:tblPr>
      <w:tblGrid>
        <w:gridCol w:w="9746"/>
      </w:tblGrid>
      <w:tr>
        <w:tc>
          <w:tcPr>
            <w:tcW w:type="dxa" w:w="9746"/>
            <w:shd w:fill="F6F8FB"/>
            <w:tcBorders>
              <w:left w:val="single" w:sz="10" w:color="C7D7E7"/>
              <w:top w:val="single" w:sz="10" w:color="C7D7E7"/>
              <w:right w:val="single" w:sz="10" w:color="C7D7E7"/>
              <w:bottom w:val="single" w:sz="10" w:color="C7D7E7"/>
            </w:tcBorders>
            <w:tcMar>
              <w:top w:w="180" w:type="dxa"/>
              <w:start w:w="220" w:type="dxa"/>
              <w:bottom w:w="170" w:type="dxa"/>
              <w:end w:w="220" w:type="dxa"/>
            </w:tcMar>
          </w:tcPr>
          <w:p>
            <w:pPr>
              <w:spacing w:line="264" w:lineRule="auto"/>
              <w:jc w:val="center"/>
            </w:pPr>
            <w:r>
              <w:rPr>
                <w:rFonts w:ascii="Noto Sans Mono CJK SC" w:hAnsi="Noto Sans Mono CJK SC" w:eastAsia="Noto Sans Mono CJK SC" w:cs="Noto Sans Mono CJK SC"/>
                <w:color w:val="1F4E79"/>
                <w:sz w:val="21"/>
              </w:rPr>
              <w:t>R_old(x, τ) = - action_loss(x, τ) - λ_cost · video_steps(τ)</w:t>
            </w:r>
          </w:p>
        </w:tc>
      </w:tr>
    </w:tbl>
    <w:p>
      <w:pPr>
        <w:spacing w:before="40" w:after="160"/>
        <w:jc w:val="center"/>
      </w:pPr>
      <w:r>
        <w:rPr>
          <w:rFonts w:ascii="Noto Serif CJK SC" w:hAnsi="Noto Serif CJK SC" w:eastAsia="Noto Serif CJK SC" w:cs="Noto Serif CJK SC"/>
          <w:i/>
          <w:color w:val="5F5F5F"/>
          <w:sz w:val="18"/>
        </w:rPr>
        <w:t>旧奖励的核心形式</w:t>
      </w:r>
    </w:p>
    <w:p>
      <w:pPr>
        <w:pStyle w:val="ListBullet"/>
        <w:spacing w:after="50" w:line="298" w:lineRule="auto"/>
      </w:pPr>
      <w:r>
        <w:rPr>
          <w:rFonts w:ascii="Noto Serif CJK SC" w:hAnsi="Noto Serif CJK SC" w:eastAsia="Noto Serif CJK SC" w:cs="Noto Serif CJK SC"/>
          <w:sz w:val="21"/>
        </w:rPr>
        <w:t>质量项量纲偏小，成本项量纲偏大，容易出现“少跑几步最重要、动作质量略差无所谓”的偏置。</w:t>
      </w:r>
    </w:p>
    <w:p>
      <w:pPr>
        <w:pStyle w:val="ListBullet"/>
        <w:spacing w:after="50" w:line="298" w:lineRule="auto"/>
      </w:pPr>
      <w:r>
        <w:rPr>
          <w:rFonts w:ascii="Noto Serif CJK SC" w:hAnsi="Noto Serif CJK SC" w:eastAsia="Noto Serif CJK SC" w:cs="Noto Serif CJK SC"/>
          <w:sz w:val="21"/>
        </w:rPr>
        <w:t>整体平均 action loss 无法突出首个可执行动作、gripper 切换、姿态误差与动作趋势。</w:t>
      </w:r>
    </w:p>
    <w:p>
      <w:pPr>
        <w:pStyle w:val="ListBullet"/>
        <w:spacing w:after="50" w:line="298" w:lineRule="auto"/>
      </w:pPr>
      <w:r>
        <w:rPr>
          <w:rFonts w:ascii="Noto Serif CJK SC" w:hAnsi="Noto Serif CJK SC" w:eastAsia="Noto Serif CJK SC" w:cs="Noto Serif CJK SC"/>
          <w:sz w:val="21"/>
        </w:rPr>
        <w:t>绝对奖励没有表达“对这个样本来说，多跑几步究竟值不值”，难以区分简单样本和困难样本。</w:t>
      </w:r>
    </w:p>
    <w:p>
      <w:pPr>
        <w:pStyle w:val="ListBullet"/>
        <w:spacing w:after="50" w:line="298" w:lineRule="auto"/>
      </w:pPr>
      <w:r>
        <w:rPr>
          <w:rFonts w:ascii="Noto Serif CJK SC" w:hAnsi="Noto Serif CJK SC" w:eastAsia="Noto Serif CJK SC" w:cs="Noto Serif CJK SC"/>
          <w:sz w:val="21"/>
        </w:rPr>
        <w:t>线性成本会把策略压向某个全局固定 K，而不是把预算保留给少数困难样本。</w:t>
      </w:r>
    </w:p>
    <w:p>
      <w:pPr>
        <w:pStyle w:val="Heading1"/>
        <w:keepNext/>
        <w:spacing w:before="200" w:after="80"/>
      </w:pPr>
      <w:r>
        <w:rPr>
          <w:rFonts w:ascii="Noto Sans CJK SC" w:hAnsi="Noto Sans CJK SC" w:eastAsia="Noto Sans CJK SC" w:cs="Noto Sans CJK SC"/>
          <w:b/>
          <w:color w:val="1F4E79"/>
          <w:sz w:val="30"/>
        </w:rPr>
        <w:t>2. 新奖励函数的设计目标</w:t>
      </w:r>
    </w:p>
    <w:p>
      <w:pPr>
        <w:pStyle w:val="ListBullet"/>
        <w:spacing w:after="50" w:line="298" w:lineRule="auto"/>
      </w:pPr>
      <w:r>
        <w:rPr>
          <w:rFonts w:ascii="Noto Serif CJK SC" w:hAnsi="Noto Serif CJK SC" w:eastAsia="Noto Serif CJK SC" w:cs="Noto Serif CJK SC"/>
          <w:sz w:val="21"/>
        </w:rPr>
        <w:t>让质量项与成本项处于可比较尺度，避免成本单边主导。</w:t>
      </w:r>
    </w:p>
    <w:p>
      <w:pPr>
        <w:pStyle w:val="ListBullet"/>
        <w:spacing w:after="50" w:line="298" w:lineRule="auto"/>
      </w:pPr>
      <w:r>
        <w:rPr>
          <w:rFonts w:ascii="Noto Serif CJK SC" w:hAnsi="Noto Serif CJK SC" w:eastAsia="Noto Serif CJK SC" w:cs="Noto Serif CJK SC"/>
          <w:sz w:val="21"/>
        </w:rPr>
        <w:t>把动作质量从“平均误差”提升为“语义误差”，显式关注首帧、序列、趋势以及 gripper 事件。</w:t>
      </w:r>
    </w:p>
    <w:p>
      <w:pPr>
        <w:pStyle w:val="ListBullet"/>
        <w:spacing w:after="50" w:line="298" w:lineRule="auto"/>
      </w:pPr>
      <w:r>
        <w:rPr>
          <w:rFonts w:ascii="Noto Serif CJK SC" w:hAnsi="Noto Serif CJK SC" w:eastAsia="Noto Serif CJK SC" w:cs="Noto Serif CJK SC"/>
          <w:sz w:val="21"/>
        </w:rPr>
        <w:t>为每个样本建立自己的评价坐标系，使奖励天然具有样本自适应性。</w:t>
      </w:r>
    </w:p>
    <w:p>
      <w:pPr>
        <w:pStyle w:val="ListBullet"/>
        <w:spacing w:after="50" w:line="298" w:lineRule="auto"/>
      </w:pPr>
      <w:r>
        <w:rPr>
          <w:rFonts w:ascii="Noto Serif CJK SC" w:hAnsi="Noto Serif CJK SC" w:eastAsia="Noto Serif CJK SC" w:cs="Noto Serif CJK SC"/>
          <w:sz w:val="21"/>
        </w:rPr>
        <w:t>把计算成本改为凸函数，前几步便宜、后几步更贵。</w:t>
      </w:r>
    </w:p>
    <w:p>
      <w:pPr>
        <w:pStyle w:val="ListBullet"/>
        <w:spacing w:after="50" w:line="298" w:lineRule="auto"/>
      </w:pPr>
      <w:r>
        <w:rPr>
          <w:rFonts w:ascii="Noto Serif CJK SC" w:hAnsi="Noto Serif CJK SC" w:eastAsia="Noto Serif CJK SC" w:cs="Noto Serif CJK SC"/>
          <w:sz w:val="21"/>
        </w:rPr>
        <w:t>驱动 scheduler 学出阶段自适应预算分配，而不是另一个固定低步数策略。</w:t>
      </w:r>
    </w:p>
    <w:p>
      <w:pPr>
        <w:pStyle w:val="Heading1"/>
        <w:keepNext/>
        <w:spacing w:before="200" w:after="80"/>
      </w:pPr>
      <w:r>
        <w:rPr>
          <w:rFonts w:ascii="Noto Sans CJK SC" w:hAnsi="Noto Sans CJK SC" w:eastAsia="Noto Sans CJK SC" w:cs="Noto Sans CJK SC"/>
          <w:b/>
          <w:color w:val="1F4E79"/>
          <w:sz w:val="30"/>
        </w:rPr>
        <w:t>3. 总体奖励结构</w:t>
      </w:r>
    </w:p>
    <w:p>
      <w:pPr>
        <w:spacing w:after="120" w:before="0" w:line="324" w:lineRule="auto"/>
      </w:pPr>
      <w:r>
        <w:rPr>
          <w:rFonts w:ascii="Noto Serif CJK SC" w:hAnsi="Noto Serif CJK SC" w:eastAsia="Noto Serif CJK SC" w:cs="Noto Serif CJK SC"/>
          <w:b w:val="0"/>
          <w:i w:val="0"/>
        </w:rPr>
        <w:t>新的奖励函数由两部分组成：语义动作收益 Q(x, τ) 与非线性计算成本 C(τ)。其中，语义收益负责回答“这条路径带来了多少任务相关质量改进”，计算成本负责回答“为此付出了多少视频计算预算”。</w:t>
      </w:r>
    </w:p>
    <w:tbl>
      <w:tblPr>
        <w:tblW w:type="auto" w:w="0"/>
        <w:jc w:val="center"/>
        <w:tblLayout w:type="autofit"/>
        <w:tblLook w:firstColumn="1" w:firstRow="1" w:lastColumn="0" w:lastRow="0" w:noHBand="0" w:noVBand="1" w:val="04A0"/>
      </w:tblPr>
      <w:tblGrid>
        <w:gridCol w:w="9746"/>
      </w:tblGrid>
      <w:tr>
        <w:tc>
          <w:tcPr>
            <w:tcW w:type="dxa" w:w="9746"/>
            <w:shd w:fill="F6F8FB"/>
            <w:tcBorders>
              <w:left w:val="single" w:sz="10" w:color="C7D7E7"/>
              <w:top w:val="single" w:sz="10" w:color="C7D7E7"/>
              <w:right w:val="single" w:sz="10" w:color="C7D7E7"/>
              <w:bottom w:val="single" w:sz="10" w:color="C7D7E7"/>
            </w:tcBorders>
            <w:tcMar>
              <w:top w:w="180" w:type="dxa"/>
              <w:start w:w="220" w:type="dxa"/>
              <w:bottom w:w="170" w:type="dxa"/>
              <w:end w:w="220" w:type="dxa"/>
            </w:tcMar>
          </w:tcPr>
          <w:p>
            <w:pPr>
              <w:spacing w:line="264" w:lineRule="auto"/>
              <w:jc w:val="center"/>
            </w:pPr>
            <w:r>
              <w:rPr>
                <w:rFonts w:ascii="Noto Sans Mono CJK SC" w:hAnsi="Noto Sans Mono CJK SC" w:eastAsia="Noto Sans Mono CJK SC" w:cs="Noto Sans Mono CJK SC"/>
                <w:color w:val="1F4E79"/>
                <w:sz w:val="21"/>
              </w:rPr>
              <w:t>R(x, τ) = Q(x, τ) - λ_c · C(τ)</w:t>
            </w:r>
          </w:p>
        </w:tc>
      </w:tr>
    </w:tbl>
    <w:p>
      <w:pPr>
        <w:spacing w:before="40" w:after="160"/>
        <w:jc w:val="center"/>
      </w:pPr>
      <w:r>
        <w:rPr>
          <w:rFonts w:ascii="Noto Serif CJK SC" w:hAnsi="Noto Serif CJK SC" w:eastAsia="Noto Serif CJK SC" w:cs="Noto Serif CJK SC"/>
          <w:i/>
          <w:color w:val="5F5F5F"/>
          <w:sz w:val="18"/>
        </w:rPr>
        <w:t>新奖励的总形式</w:t>
      </w:r>
    </w:p>
    <w:tbl>
      <w:tblPr>
        <w:tblW w:type="auto" w:w="0"/>
        <w:jc w:val="center"/>
        <w:tblLook w:firstColumn="1" w:firstRow="1" w:lastColumn="0" w:lastRow="0" w:noHBand="0" w:noVBand="1" w:val="04A0"/>
      </w:tblPr>
      <w:tblGrid>
        <w:gridCol w:w="9746"/>
      </w:tblGrid>
      <w:tr>
        <w:tc>
          <w:tcPr>
            <w:tcW w:type="dxa" w:w="9746"/>
            <w:shd w:fill="EAF2F8"/>
            <w:tcBorders>
              <w:left w:val="single" w:sz="10" w:color="C7D7E7"/>
              <w:top w:val="single" w:sz="10" w:color="C7D7E7"/>
              <w:right w:val="single" w:sz="10" w:color="C7D7E7"/>
              <w:bottom w:val="single" w:sz="10" w:color="C7D7E7"/>
            </w:tcBorders>
            <w:tcMar>
              <w:top w:w="170" w:type="dxa"/>
              <w:start w:w="190" w:type="dxa"/>
              <w:bottom w:w="170" w:type="dxa"/>
              <w:end w:w="190" w:type="dxa"/>
            </w:tcMar>
          </w:tcPr>
          <w:p>
            <w:pPr>
              <w:spacing w:after="100"/>
            </w:pPr>
            <w:r>
              <w:rPr>
                <w:rFonts w:ascii="Noto Sans CJK SC" w:hAnsi="Noto Sans CJK SC" w:eastAsia="Noto Sans CJK SC" w:cs="Noto Sans CJK SC"/>
                <w:b/>
                <w:color w:val="1F4E79"/>
                <w:sz w:val="22"/>
              </w:rPr>
              <w:t>核心思想</w:t>
            </w:r>
          </w:p>
          <w:p>
            <w:pPr>
              <w:spacing w:after="0" w:line="300" w:lineRule="auto"/>
            </w:pPr>
            <w:r>
              <w:rPr>
                <w:rFonts w:ascii="Noto Serif CJK SC" w:hAnsi="Noto Serif CJK SC" w:eastAsia="Noto Serif CJK SC" w:cs="Noto Serif CJK SC"/>
                <w:color w:val="282828"/>
                <w:sz w:val="21"/>
              </w:rPr>
              <w:t>不再直接比较“当前路径的绝对误差”，而是比较“当前路径相对于低预算锚点与高质量锚点，恢复了多少本来可以恢复的语义动作质量”。</w:t>
            </w:r>
          </w:p>
        </w:tc>
      </w:tr>
    </w:tbl>
    <w:p>
      <w:pPr>
        <w:spacing w:after="20"/>
      </w:pPr>
    </w:p>
    <w:p>
      <w:pPr>
        <w:pStyle w:val="Heading1"/>
        <w:keepNext/>
        <w:spacing w:before="200" w:after="80"/>
      </w:pPr>
      <w:r>
        <w:rPr>
          <w:rFonts w:ascii="Noto Sans CJK SC" w:hAnsi="Noto Sans CJK SC" w:eastAsia="Noto Sans CJK SC" w:cs="Noto Sans CJK SC"/>
          <w:b/>
          <w:color w:val="1F4E79"/>
          <w:sz w:val="30"/>
        </w:rPr>
        <w:t>4. 语义质量项 Q 的分解</w:t>
      </w:r>
    </w:p>
    <w:p>
      <w:pPr>
        <w:spacing w:after="120" w:before="0" w:line="324" w:lineRule="auto"/>
      </w:pPr>
      <w:r>
        <w:rPr>
          <w:rFonts w:ascii="Noto Serif CJK SC" w:hAnsi="Noto Serif CJK SC" w:eastAsia="Noto Serif CJK SC" w:cs="Noto Serif CJK SC"/>
          <w:b w:val="0"/>
          <w:i w:val="0"/>
        </w:rPr>
        <w:t>质量项不再由单一平均 action loss 构成，而是拆成三个互补视角：首帧动作是否可靠、整段动作是否整体正确、动作变化趋势是否与专家轨迹一致。</w:t>
      </w:r>
    </w:p>
    <w:tbl>
      <w:tblPr>
        <w:tblW w:type="auto" w:w="0"/>
        <w:jc w:val="center"/>
        <w:tblLayout w:type="autofit"/>
        <w:tblLook w:firstColumn="1" w:firstRow="1" w:lastColumn="0" w:lastRow="0" w:noHBand="0" w:noVBand="1" w:val="04A0"/>
      </w:tblPr>
      <w:tblGrid>
        <w:gridCol w:w="9746"/>
      </w:tblGrid>
      <w:tr>
        <w:tc>
          <w:tcPr>
            <w:tcW w:type="dxa" w:w="9746"/>
            <w:shd w:fill="F6F8FB"/>
            <w:tcBorders>
              <w:left w:val="single" w:sz="10" w:color="C7D7E7"/>
              <w:top w:val="single" w:sz="10" w:color="C7D7E7"/>
              <w:right w:val="single" w:sz="10" w:color="C7D7E7"/>
              <w:bottom w:val="single" w:sz="10" w:color="C7D7E7"/>
            </w:tcBorders>
            <w:tcMar>
              <w:top w:w="180" w:type="dxa"/>
              <w:start w:w="220" w:type="dxa"/>
              <w:bottom w:w="170" w:type="dxa"/>
              <w:end w:w="220" w:type="dxa"/>
            </w:tcMar>
          </w:tcPr>
          <w:p>
            <w:pPr>
              <w:spacing w:line="264" w:lineRule="auto"/>
              <w:jc w:val="center"/>
            </w:pPr>
            <w:r>
              <w:rPr>
                <w:rFonts w:ascii="Noto Sans Mono CJK SC" w:hAnsi="Noto Sans Mono CJK SC" w:eastAsia="Noto Sans Mono CJK SC" w:cs="Noto Sans Mono CJK SC"/>
                <w:color w:val="1F4E79"/>
                <w:sz w:val="21"/>
              </w:rPr>
              <w:t>Q = Q_first + Q_seq + Q_Δ</w:t>
            </w:r>
          </w:p>
        </w:tc>
      </w:tr>
    </w:tbl>
    <w:p>
      <w:pPr>
        <w:spacing w:before="40" w:after="160"/>
        <w:jc w:val="center"/>
      </w:pPr>
      <w:r>
        <w:rPr>
          <w:rFonts w:ascii="Noto Serif CJK SC" w:hAnsi="Noto Serif CJK SC" w:eastAsia="Noto Serif CJK SC" w:cs="Noto Serif CJK SC"/>
          <w:i/>
          <w:color w:val="5F5F5F"/>
          <w:sz w:val="18"/>
        </w:rPr>
        <w:t>语义收益分解为三部分</w:t>
      </w:r>
    </w:p>
    <w:p>
      <w:pPr>
        <w:pStyle w:val="Heading2"/>
        <w:keepNext/>
        <w:spacing w:before="120" w:after="60"/>
      </w:pPr>
      <w:r>
        <w:rPr>
          <w:rFonts w:ascii="Noto Sans CJK SC" w:hAnsi="Noto Sans CJK SC" w:eastAsia="Noto Sans CJK SC" w:cs="Noto Sans CJK SC"/>
          <w:b/>
          <w:color w:val="2C6EA0"/>
          <w:sz w:val="24"/>
        </w:rPr>
        <w:t>4.1 单帧语义误差的定义</w:t>
      </w:r>
    </w:p>
    <w:p>
      <w:pPr>
        <w:spacing w:after="120" w:before="0" w:line="324" w:lineRule="auto"/>
      </w:pPr>
      <w:r>
        <w:rPr>
          <w:rFonts w:ascii="Noto Serif CJK SC" w:hAnsi="Noto Serif CJK SC" w:eastAsia="Noto Serif CJK SC" w:cs="Noto Serif CJK SC"/>
          <w:b w:val="0"/>
          <w:i w:val="0"/>
        </w:rPr>
        <w:t>设每一帧预测动作写作 â_t = (p̂_t, q̂_t, ĵ_t, ĝ_t)，分别对应末端执行器位置、末端执行器姿态、关节角与 gripper。单帧语义误差定义为：</w:t>
      </w:r>
    </w:p>
    <w:tbl>
      <w:tblPr>
        <w:tblW w:type="auto" w:w="0"/>
        <w:jc w:val="center"/>
        <w:tblLayout w:type="autofit"/>
        <w:tblLook w:firstColumn="1" w:firstRow="1" w:lastColumn="0" w:lastRow="0" w:noHBand="0" w:noVBand="1" w:val="04A0"/>
      </w:tblPr>
      <w:tblGrid>
        <w:gridCol w:w="9746"/>
      </w:tblGrid>
      <w:tr>
        <w:tc>
          <w:tcPr>
            <w:tcW w:type="dxa" w:w="9746"/>
            <w:shd w:fill="F6F8FB"/>
            <w:tcBorders>
              <w:left w:val="single" w:sz="10" w:color="C7D7E7"/>
              <w:top w:val="single" w:sz="10" w:color="C7D7E7"/>
              <w:right w:val="single" w:sz="10" w:color="C7D7E7"/>
              <w:bottom w:val="single" w:sz="10" w:color="C7D7E7"/>
            </w:tcBorders>
            <w:tcMar>
              <w:top w:w="180" w:type="dxa"/>
              <w:start w:w="220" w:type="dxa"/>
              <w:bottom w:w="170" w:type="dxa"/>
              <w:end w:w="220" w:type="dxa"/>
            </w:tcMar>
          </w:tcPr>
          <w:p>
            <w:pPr>
              <w:spacing w:line="264" w:lineRule="auto"/>
              <w:jc w:val="center"/>
            </w:pPr>
            <w:r>
              <w:rPr>
                <w:rFonts w:ascii="Noto Sans Mono CJK SC" w:hAnsi="Noto Sans Mono CJK SC" w:eastAsia="Noto Sans Mono CJK SC" w:cs="Noto Sans Mono CJK SC"/>
                <w:color w:val="1F4E79"/>
                <w:sz w:val="21"/>
              </w:rPr>
              <w:t>ℓ_t = λ_p·Huber(p̂_t-p*_t) + λ_r·d_rot(q̂_t,q*_t) + λ_j·Huber(ĵ_t-j*_t) + λ_g·BCE(ĝ_t,g*_t)</w:t>
            </w:r>
          </w:p>
        </w:tc>
      </w:tr>
    </w:tbl>
    <w:p>
      <w:pPr>
        <w:spacing w:before="40" w:after="160"/>
        <w:jc w:val="center"/>
      </w:pPr>
      <w:r>
        <w:rPr>
          <w:rFonts w:ascii="Noto Serif CJK SC" w:hAnsi="Noto Serif CJK SC" w:eastAsia="Noto Serif CJK SC" w:cs="Noto Serif CJK SC"/>
          <w:i/>
          <w:color w:val="5F5F5F"/>
          <w:sz w:val="18"/>
        </w:rPr>
        <w:t>单帧语义误差 ℓ_t</w:t>
      </w:r>
    </w:p>
    <w:tbl>
      <w:tblPr>
        <w:tblStyle w:val="TableGrid"/>
        <w:tblW w:type="auto" w:w="0"/>
        <w:jc w:val="center"/>
        <w:tblLayout w:type="fixed"/>
        <w:tblLook w:firstColumn="1" w:firstRow="1" w:lastColumn="0" w:lastRow="0" w:noHBand="0" w:noVBand="1" w:val="04A0"/>
      </w:tblPr>
      <w:tblGrid>
        <w:gridCol w:w="3249"/>
        <w:gridCol w:w="3249"/>
        <w:gridCol w:w="3249"/>
      </w:tblGrid>
      <w:tr>
        <w:trPr>
          <w:tblHeader w:val="true"/>
        </w:trPr>
        <w:tc>
          <w:tcPr>
            <w:tcW w:type="dxa" w:w="1814"/>
            <w:vAlign w:val="center"/>
            <w:tcMar>
              <w:top w:w="120" w:type="dxa"/>
              <w:start w:w="140" w:type="dxa"/>
              <w:bottom w:w="120" w:type="dxa"/>
              <w:end w:w="140" w:type="dxa"/>
            </w:tcMar>
            <w:tcBorders>
              <w:left w:val="single" w:sz="6" w:color="C7D7E7"/>
              <w:top w:val="single" w:sz="6" w:color="C7D7E7"/>
              <w:right w:val="single" w:sz="6" w:color="C7D7E7"/>
              <w:bottom w:val="single" w:sz="6" w:color="C7D7E7"/>
            </w:tcBorders>
            <w:shd w:fill="EAF2F8"/>
          </w:tcPr>
          <w:p>
            <w:pPr>
              <w:spacing w:before="40" w:after="40" w:line="269" w:lineRule="auto"/>
            </w:pPr>
            <w:r>
              <w:rPr>
                <w:rFonts w:ascii="Noto Sans CJK SC" w:hAnsi="Noto Sans CJK SC" w:eastAsia="Noto Sans CJK SC" w:cs="Noto Sans CJK SC"/>
                <w:b/>
                <w:color w:val="1F4E79"/>
                <w:sz w:val="20"/>
              </w:rPr>
              <w:t>分量</w:t>
            </w:r>
          </w:p>
        </w:tc>
        <w:tc>
          <w:tcPr>
            <w:tcW w:type="dxa" w:w="2835"/>
            <w:vAlign w:val="center"/>
            <w:tcMar>
              <w:top w:w="120" w:type="dxa"/>
              <w:start w:w="140" w:type="dxa"/>
              <w:bottom w:w="120" w:type="dxa"/>
              <w:end w:w="140" w:type="dxa"/>
            </w:tcMar>
            <w:tcBorders>
              <w:left w:val="single" w:sz="6" w:color="C7D7E7"/>
              <w:top w:val="single" w:sz="6" w:color="C7D7E7"/>
              <w:right w:val="single" w:sz="6" w:color="C7D7E7"/>
              <w:bottom w:val="single" w:sz="6" w:color="C7D7E7"/>
            </w:tcBorders>
            <w:shd w:fill="EAF2F8"/>
          </w:tcPr>
          <w:p>
            <w:pPr>
              <w:spacing w:before="40" w:after="40" w:line="269" w:lineRule="auto"/>
            </w:pPr>
            <w:r>
              <w:rPr>
                <w:rFonts w:ascii="Noto Sans CJK SC" w:hAnsi="Noto Sans CJK SC" w:eastAsia="Noto Sans CJK SC" w:cs="Noto Sans CJK SC"/>
                <w:b/>
                <w:color w:val="1F4E79"/>
                <w:sz w:val="20"/>
              </w:rPr>
              <w:t>推荐损失</w:t>
            </w:r>
          </w:p>
        </w:tc>
        <w:tc>
          <w:tcPr>
            <w:tcW w:type="dxa" w:w="4082"/>
            <w:vAlign w:val="center"/>
            <w:tcMar>
              <w:top w:w="120" w:type="dxa"/>
              <w:start w:w="140" w:type="dxa"/>
              <w:bottom w:w="120" w:type="dxa"/>
              <w:end w:w="140" w:type="dxa"/>
            </w:tcMar>
            <w:tcBorders>
              <w:left w:val="single" w:sz="6" w:color="C7D7E7"/>
              <w:top w:val="single" w:sz="6" w:color="C7D7E7"/>
              <w:right w:val="single" w:sz="6" w:color="C7D7E7"/>
              <w:bottom w:val="single" w:sz="6" w:color="C7D7E7"/>
            </w:tcBorders>
            <w:shd w:fill="EAF2F8"/>
          </w:tcPr>
          <w:p>
            <w:pPr>
              <w:spacing w:before="40" w:after="40" w:line="269" w:lineRule="auto"/>
            </w:pPr>
            <w:r>
              <w:rPr>
                <w:rFonts w:ascii="Noto Sans CJK SC" w:hAnsi="Noto Sans CJK SC" w:eastAsia="Noto Sans CJK SC" w:cs="Noto Sans CJK SC"/>
                <w:b/>
                <w:color w:val="1F4E79"/>
                <w:sz w:val="20"/>
              </w:rPr>
              <w:t>设计理由</w:t>
            </w:r>
          </w:p>
        </w:tc>
      </w:tr>
      <w:tr>
        <w:tc>
          <w:tcPr>
            <w:tcW w:type="dxa" w:w="1814"/>
            <w:vAlign w:val="center"/>
            <w:tcMar>
              <w:top w:w="120" w:type="dxa"/>
              <w:start w:w="140" w:type="dxa"/>
              <w:bottom w:w="120" w:type="dxa"/>
              <w:end w:w="140" w:type="dxa"/>
            </w:tcMar>
            <w:tcBorders>
              <w:left w:val="single" w:sz="6" w:color="C7D7E7"/>
              <w:top w:val="single" w:sz="6" w:color="C7D7E7"/>
              <w:right w:val="single" w:sz="6" w:color="C7D7E7"/>
              <w:bottom w:val="single" w:sz="6" w:color="C7D7E7"/>
            </w:tcBorders>
          </w:tcPr>
          <w:p>
            <w:pPr>
              <w:spacing w:before="40" w:after="40" w:line="269" w:lineRule="auto"/>
            </w:pPr>
            <w:r>
              <w:rPr>
                <w:rFonts w:ascii="Noto Sans CJK SC" w:hAnsi="Noto Sans CJK SC" w:eastAsia="Noto Sans CJK SC" w:cs="Noto Sans CJK SC"/>
                <w:sz w:val="20"/>
              </w:rPr>
              <w:t>位置 p</w:t>
            </w:r>
          </w:p>
        </w:tc>
        <w:tc>
          <w:tcPr>
            <w:tcW w:type="dxa" w:w="2835"/>
            <w:vAlign w:val="center"/>
            <w:tcMar>
              <w:top w:w="120" w:type="dxa"/>
              <w:start w:w="140" w:type="dxa"/>
              <w:bottom w:w="120" w:type="dxa"/>
              <w:end w:w="140" w:type="dxa"/>
            </w:tcMar>
            <w:tcBorders>
              <w:left w:val="single" w:sz="6" w:color="C7D7E7"/>
              <w:top w:val="single" w:sz="6" w:color="C7D7E7"/>
              <w:right w:val="single" w:sz="6" w:color="C7D7E7"/>
              <w:bottom w:val="single" w:sz="6" w:color="C7D7E7"/>
            </w:tcBorders>
          </w:tcPr>
          <w:p>
            <w:pPr>
              <w:spacing w:before="40" w:after="40" w:line="269" w:lineRule="auto"/>
            </w:pPr>
            <w:r>
              <w:rPr>
                <w:rFonts w:ascii="Noto Sans CJK SC" w:hAnsi="Noto Sans CJK SC" w:eastAsia="Noto Sans CJK SC" w:cs="Noto Sans CJK SC"/>
                <w:sz w:val="20"/>
              </w:rPr>
              <w:t>Huber</w:t>
            </w:r>
          </w:p>
        </w:tc>
        <w:tc>
          <w:tcPr>
            <w:tcW w:type="dxa" w:w="4082"/>
            <w:vAlign w:val="center"/>
            <w:tcMar>
              <w:top w:w="120" w:type="dxa"/>
              <w:start w:w="140" w:type="dxa"/>
              <w:bottom w:w="120" w:type="dxa"/>
              <w:end w:w="140" w:type="dxa"/>
            </w:tcMar>
            <w:tcBorders>
              <w:left w:val="single" w:sz="6" w:color="C7D7E7"/>
              <w:top w:val="single" w:sz="6" w:color="C7D7E7"/>
              <w:right w:val="single" w:sz="6" w:color="C7D7E7"/>
              <w:bottom w:val="single" w:sz="6" w:color="C7D7E7"/>
            </w:tcBorders>
          </w:tcPr>
          <w:p>
            <w:pPr>
              <w:spacing w:before="40" w:after="40" w:line="269" w:lineRule="auto"/>
            </w:pPr>
            <w:r>
              <w:rPr>
                <w:rFonts w:ascii="Noto Sans CJK SC" w:hAnsi="Noto Sans CJK SC" w:eastAsia="Noto Sans CJK SC" w:cs="Noto Sans CJK SC"/>
                <w:sz w:val="20"/>
              </w:rPr>
              <w:t>比纯 MSE 更稳，减少少量离群点对奖励尺度的破坏。</w:t>
            </w:r>
          </w:p>
        </w:tc>
      </w:tr>
      <w:tr>
        <w:tc>
          <w:tcPr>
            <w:tcW w:type="dxa" w:w="1814"/>
            <w:vAlign w:val="center"/>
            <w:tcMar>
              <w:top w:w="120" w:type="dxa"/>
              <w:start w:w="140" w:type="dxa"/>
              <w:bottom w:w="120" w:type="dxa"/>
              <w:end w:w="140" w:type="dxa"/>
            </w:tcMar>
            <w:tcBorders>
              <w:left w:val="single" w:sz="6" w:color="C7D7E7"/>
              <w:top w:val="single" w:sz="6" w:color="C7D7E7"/>
              <w:right w:val="single" w:sz="6" w:color="C7D7E7"/>
              <w:bottom w:val="single" w:sz="6" w:color="C7D7E7"/>
            </w:tcBorders>
          </w:tcPr>
          <w:p>
            <w:pPr>
              <w:spacing w:before="40" w:after="40" w:line="269" w:lineRule="auto"/>
            </w:pPr>
            <w:r>
              <w:rPr>
                <w:rFonts w:ascii="Noto Sans CJK SC" w:hAnsi="Noto Sans CJK SC" w:eastAsia="Noto Sans CJK SC" w:cs="Noto Sans CJK SC"/>
                <w:sz w:val="20"/>
              </w:rPr>
              <w:t>姿态 q</w:t>
            </w:r>
          </w:p>
        </w:tc>
        <w:tc>
          <w:tcPr>
            <w:tcW w:type="dxa" w:w="2835"/>
            <w:vAlign w:val="center"/>
            <w:tcMar>
              <w:top w:w="120" w:type="dxa"/>
              <w:start w:w="140" w:type="dxa"/>
              <w:bottom w:w="120" w:type="dxa"/>
              <w:end w:w="140" w:type="dxa"/>
            </w:tcMar>
            <w:tcBorders>
              <w:left w:val="single" w:sz="6" w:color="C7D7E7"/>
              <w:top w:val="single" w:sz="6" w:color="C7D7E7"/>
              <w:right w:val="single" w:sz="6" w:color="C7D7E7"/>
              <w:bottom w:val="single" w:sz="6" w:color="C7D7E7"/>
            </w:tcBorders>
          </w:tcPr>
          <w:p>
            <w:pPr>
              <w:spacing w:before="40" w:after="40" w:line="269" w:lineRule="auto"/>
            </w:pPr>
            <w:r>
              <w:rPr>
                <w:rFonts w:ascii="Noto Sans CJK SC" w:hAnsi="Noto Sans CJK SC" w:eastAsia="Noto Sans CJK SC" w:cs="Noto Sans CJK SC"/>
                <w:sz w:val="20"/>
              </w:rPr>
              <w:t>旋转几何距离 d_rot</w:t>
            </w:r>
          </w:p>
        </w:tc>
        <w:tc>
          <w:tcPr>
            <w:tcW w:type="dxa" w:w="4082"/>
            <w:vAlign w:val="center"/>
            <w:tcMar>
              <w:top w:w="120" w:type="dxa"/>
              <w:start w:w="140" w:type="dxa"/>
              <w:bottom w:w="120" w:type="dxa"/>
              <w:end w:w="140" w:type="dxa"/>
            </w:tcMar>
            <w:tcBorders>
              <w:left w:val="single" w:sz="6" w:color="C7D7E7"/>
              <w:top w:val="single" w:sz="6" w:color="C7D7E7"/>
              <w:right w:val="single" w:sz="6" w:color="C7D7E7"/>
              <w:bottom w:val="single" w:sz="6" w:color="C7D7E7"/>
            </w:tcBorders>
          </w:tcPr>
          <w:p>
            <w:pPr>
              <w:spacing w:before="40" w:after="40" w:line="269" w:lineRule="auto"/>
            </w:pPr>
            <w:r>
              <w:rPr>
                <w:rFonts w:ascii="Noto Sans CJK SC" w:hAnsi="Noto Sans CJK SC" w:eastAsia="Noto Sans CJK SC" w:cs="Noto Sans CJK SC"/>
                <w:sz w:val="20"/>
              </w:rPr>
              <w:t>避免直接对四元数分量做普通 L2，保持姿态误差的几何意义。</w:t>
            </w:r>
          </w:p>
        </w:tc>
      </w:tr>
      <w:tr>
        <w:tc>
          <w:tcPr>
            <w:tcW w:type="dxa" w:w="1814"/>
            <w:vAlign w:val="center"/>
            <w:tcMar>
              <w:top w:w="120" w:type="dxa"/>
              <w:start w:w="140" w:type="dxa"/>
              <w:bottom w:w="120" w:type="dxa"/>
              <w:end w:w="140" w:type="dxa"/>
            </w:tcMar>
            <w:tcBorders>
              <w:left w:val="single" w:sz="6" w:color="C7D7E7"/>
              <w:top w:val="single" w:sz="6" w:color="C7D7E7"/>
              <w:right w:val="single" w:sz="6" w:color="C7D7E7"/>
              <w:bottom w:val="single" w:sz="6" w:color="C7D7E7"/>
            </w:tcBorders>
          </w:tcPr>
          <w:p>
            <w:pPr>
              <w:spacing w:before="40" w:after="40" w:line="269" w:lineRule="auto"/>
            </w:pPr>
            <w:r>
              <w:rPr>
                <w:rFonts w:ascii="Noto Sans CJK SC" w:hAnsi="Noto Sans CJK SC" w:eastAsia="Noto Sans CJK SC" w:cs="Noto Sans CJK SC"/>
                <w:sz w:val="20"/>
              </w:rPr>
              <w:t>关节 j</w:t>
            </w:r>
          </w:p>
        </w:tc>
        <w:tc>
          <w:tcPr>
            <w:tcW w:type="dxa" w:w="2835"/>
            <w:vAlign w:val="center"/>
            <w:tcMar>
              <w:top w:w="120" w:type="dxa"/>
              <w:start w:w="140" w:type="dxa"/>
              <w:bottom w:w="120" w:type="dxa"/>
              <w:end w:w="140" w:type="dxa"/>
            </w:tcMar>
            <w:tcBorders>
              <w:left w:val="single" w:sz="6" w:color="C7D7E7"/>
              <w:top w:val="single" w:sz="6" w:color="C7D7E7"/>
              <w:right w:val="single" w:sz="6" w:color="C7D7E7"/>
              <w:bottom w:val="single" w:sz="6" w:color="C7D7E7"/>
            </w:tcBorders>
          </w:tcPr>
          <w:p>
            <w:pPr>
              <w:spacing w:before="40" w:after="40" w:line="269" w:lineRule="auto"/>
            </w:pPr>
            <w:r>
              <w:rPr>
                <w:rFonts w:ascii="Noto Sans CJK SC" w:hAnsi="Noto Sans CJK SC" w:eastAsia="Noto Sans CJK SC" w:cs="Noto Sans CJK SC"/>
                <w:sz w:val="20"/>
              </w:rPr>
              <w:t>Huber</w:t>
            </w:r>
          </w:p>
        </w:tc>
        <w:tc>
          <w:tcPr>
            <w:tcW w:type="dxa" w:w="4082"/>
            <w:vAlign w:val="center"/>
            <w:tcMar>
              <w:top w:w="120" w:type="dxa"/>
              <w:start w:w="140" w:type="dxa"/>
              <w:bottom w:w="120" w:type="dxa"/>
              <w:end w:w="140" w:type="dxa"/>
            </w:tcMar>
            <w:tcBorders>
              <w:left w:val="single" w:sz="6" w:color="C7D7E7"/>
              <w:top w:val="single" w:sz="6" w:color="C7D7E7"/>
              <w:right w:val="single" w:sz="6" w:color="C7D7E7"/>
              <w:bottom w:val="single" w:sz="6" w:color="C7D7E7"/>
            </w:tcBorders>
          </w:tcPr>
          <w:p>
            <w:pPr>
              <w:spacing w:before="40" w:after="40" w:line="269" w:lineRule="auto"/>
            </w:pPr>
            <w:r>
              <w:rPr>
                <w:rFonts w:ascii="Noto Sans CJK SC" w:hAnsi="Noto Sans CJK SC" w:eastAsia="Noto Sans CJK SC" w:cs="Noto Sans CJK SC"/>
                <w:sz w:val="20"/>
              </w:rPr>
              <w:t>兼顾构型可行性与数值稳定性，避免被单维大误差拖偏。</w:t>
            </w:r>
          </w:p>
        </w:tc>
      </w:tr>
      <w:tr>
        <w:tc>
          <w:tcPr>
            <w:tcW w:type="dxa" w:w="1814"/>
            <w:vAlign w:val="center"/>
            <w:tcMar>
              <w:top w:w="120" w:type="dxa"/>
              <w:start w:w="140" w:type="dxa"/>
              <w:bottom w:w="120" w:type="dxa"/>
              <w:end w:w="140" w:type="dxa"/>
            </w:tcMar>
            <w:tcBorders>
              <w:left w:val="single" w:sz="6" w:color="C7D7E7"/>
              <w:top w:val="single" w:sz="6" w:color="C7D7E7"/>
              <w:right w:val="single" w:sz="6" w:color="C7D7E7"/>
              <w:bottom w:val="single" w:sz="6" w:color="C7D7E7"/>
            </w:tcBorders>
          </w:tcPr>
          <w:p>
            <w:pPr>
              <w:spacing w:before="40" w:after="40" w:line="269" w:lineRule="auto"/>
            </w:pPr>
            <w:r>
              <w:rPr>
                <w:rFonts w:ascii="Noto Sans CJK SC" w:hAnsi="Noto Sans CJK SC" w:eastAsia="Noto Sans CJK SC" w:cs="Noto Sans CJK SC"/>
                <w:sz w:val="20"/>
              </w:rPr>
              <w:t>gripper g</w:t>
            </w:r>
          </w:p>
        </w:tc>
        <w:tc>
          <w:tcPr>
            <w:tcW w:type="dxa" w:w="2835"/>
            <w:vAlign w:val="center"/>
            <w:tcMar>
              <w:top w:w="120" w:type="dxa"/>
              <w:start w:w="140" w:type="dxa"/>
              <w:bottom w:w="120" w:type="dxa"/>
              <w:end w:w="140" w:type="dxa"/>
            </w:tcMar>
            <w:tcBorders>
              <w:left w:val="single" w:sz="6" w:color="C7D7E7"/>
              <w:top w:val="single" w:sz="6" w:color="C7D7E7"/>
              <w:right w:val="single" w:sz="6" w:color="C7D7E7"/>
              <w:bottom w:val="single" w:sz="6" w:color="C7D7E7"/>
            </w:tcBorders>
          </w:tcPr>
          <w:p>
            <w:pPr>
              <w:spacing w:before="40" w:after="40" w:line="269" w:lineRule="auto"/>
            </w:pPr>
            <w:r>
              <w:rPr>
                <w:rFonts w:ascii="Noto Sans CJK SC" w:hAnsi="Noto Sans CJK SC" w:eastAsia="Noto Sans CJK SC" w:cs="Noto Sans CJK SC"/>
                <w:sz w:val="20"/>
              </w:rPr>
              <w:t>BCE</w:t>
            </w:r>
          </w:p>
        </w:tc>
        <w:tc>
          <w:tcPr>
            <w:tcW w:type="dxa" w:w="4082"/>
            <w:vAlign w:val="center"/>
            <w:tcMar>
              <w:top w:w="120" w:type="dxa"/>
              <w:start w:w="140" w:type="dxa"/>
              <w:bottom w:w="120" w:type="dxa"/>
              <w:end w:w="140" w:type="dxa"/>
            </w:tcMar>
            <w:tcBorders>
              <w:left w:val="single" w:sz="6" w:color="C7D7E7"/>
              <w:top w:val="single" w:sz="6" w:color="C7D7E7"/>
              <w:right w:val="single" w:sz="6" w:color="C7D7E7"/>
              <w:bottom w:val="single" w:sz="6" w:color="C7D7E7"/>
            </w:tcBorders>
          </w:tcPr>
          <w:p>
            <w:pPr>
              <w:spacing w:before="40" w:after="40" w:line="269" w:lineRule="auto"/>
            </w:pPr>
            <w:r>
              <w:rPr>
                <w:rFonts w:ascii="Noto Sans CJK SC" w:hAnsi="Noto Sans CJK SC" w:eastAsia="Noto Sans CJK SC" w:cs="Noto Sans CJK SC"/>
                <w:sz w:val="20"/>
              </w:rPr>
              <w:t>开/闭本质上是离散事件，单独建模更能突出抓取与释放阶段。</w:t>
            </w:r>
          </w:p>
        </w:tc>
      </w:tr>
    </w:tbl>
    <w:p>
      <w:pPr>
        <w:spacing w:after="80"/>
      </w:pPr>
    </w:p>
    <w:p>
      <w:pPr>
        <w:pStyle w:val="Heading2"/>
        <w:keepNext/>
        <w:spacing w:before="120" w:after="60"/>
      </w:pPr>
      <w:r>
        <w:rPr>
          <w:rFonts w:ascii="Noto Sans CJK SC" w:hAnsi="Noto Sans CJK SC" w:eastAsia="Noto Sans CJK SC" w:cs="Noto Sans CJK SC"/>
          <w:b/>
          <w:color w:val="2C6EA0"/>
          <w:sz w:val="24"/>
        </w:rPr>
        <w:t>4.2 首帧误差项 L_first</w:t>
      </w:r>
    </w:p>
    <w:tbl>
      <w:tblPr>
        <w:tblW w:type="auto" w:w="0"/>
        <w:jc w:val="center"/>
        <w:tblLayout w:type="autofit"/>
        <w:tblLook w:firstColumn="1" w:firstRow="1" w:lastColumn="0" w:lastRow="0" w:noHBand="0" w:noVBand="1" w:val="04A0"/>
      </w:tblPr>
      <w:tblGrid>
        <w:gridCol w:w="9746"/>
      </w:tblGrid>
      <w:tr>
        <w:tc>
          <w:tcPr>
            <w:tcW w:type="dxa" w:w="9746"/>
            <w:shd w:fill="F6F8FB"/>
            <w:tcBorders>
              <w:left w:val="single" w:sz="10" w:color="C7D7E7"/>
              <w:top w:val="single" w:sz="10" w:color="C7D7E7"/>
              <w:right w:val="single" w:sz="10" w:color="C7D7E7"/>
              <w:bottom w:val="single" w:sz="10" w:color="C7D7E7"/>
            </w:tcBorders>
            <w:tcMar>
              <w:top w:w="180" w:type="dxa"/>
              <w:start w:w="220" w:type="dxa"/>
              <w:bottom w:w="170" w:type="dxa"/>
              <w:end w:w="220" w:type="dxa"/>
            </w:tcMar>
          </w:tcPr>
          <w:p>
            <w:pPr>
              <w:spacing w:line="264" w:lineRule="auto"/>
              <w:jc w:val="center"/>
            </w:pPr>
            <w:r>
              <w:rPr>
                <w:rFonts w:ascii="Noto Sans Mono CJK SC" w:hAnsi="Noto Sans Mono CJK SC" w:eastAsia="Noto Sans Mono CJK SC" w:cs="Noto Sans Mono CJK SC"/>
                <w:color w:val="1F4E79"/>
                <w:sz w:val="21"/>
              </w:rPr>
              <w:t>L_first(τ) = ℓ_0</w:t>
            </w:r>
          </w:p>
        </w:tc>
      </w:tr>
    </w:tbl>
    <w:p>
      <w:pPr>
        <w:spacing w:before="40" w:after="160"/>
        <w:jc w:val="center"/>
      </w:pPr>
      <w:r>
        <w:rPr>
          <w:rFonts w:ascii="Noto Serif CJK SC" w:hAnsi="Noto Serif CJK SC" w:eastAsia="Noto Serif CJK SC" w:cs="Noto Serif CJK SC"/>
          <w:i/>
          <w:color w:val="5F5F5F"/>
          <w:sz w:val="18"/>
        </w:rPr>
        <w:t>首个可执行动作帧的误差</w:t>
      </w:r>
    </w:p>
    <w:p>
      <w:pPr>
        <w:pStyle w:val="ListBullet"/>
        <w:spacing w:after="50" w:line="298" w:lineRule="auto"/>
      </w:pPr>
      <w:r>
        <w:rPr>
          <w:rFonts w:ascii="Noto Serif CJK SC" w:hAnsi="Noto Serif CJK SC" w:eastAsia="Noto Serif CJK SC" w:cs="Noto Serif CJK SC"/>
          <w:sz w:val="21"/>
        </w:rPr>
        <w:t>首帧是当前 chunk 最先落地执行的动作，直接影响闭环控制的即时稳定性。</w:t>
      </w:r>
    </w:p>
    <w:p>
      <w:pPr>
        <w:pStyle w:val="ListBullet"/>
        <w:spacing w:after="50" w:line="298" w:lineRule="auto"/>
      </w:pPr>
      <w:r>
        <w:rPr>
          <w:rFonts w:ascii="Noto Serif CJK SC" w:hAnsi="Noto Serif CJK SC" w:eastAsia="Noto Serif CJK SC" w:cs="Noto Serif CJK SC"/>
          <w:sz w:val="21"/>
        </w:rPr>
        <w:t>如果第一下对位或姿态就错，后续动作即便平均误差尚可，也可能已经偏航。</w:t>
      </w:r>
    </w:p>
    <w:p>
      <w:pPr>
        <w:pStyle w:val="ListBullet"/>
        <w:spacing w:after="50" w:line="298" w:lineRule="auto"/>
      </w:pPr>
      <w:r>
        <w:rPr>
          <w:rFonts w:ascii="Noto Serif CJK SC" w:hAnsi="Noto Serif CJK SC" w:eastAsia="Noto Serif CJK SC" w:cs="Noto Serif CJK SC"/>
          <w:sz w:val="21"/>
        </w:rPr>
        <w:t>该项的作用是把“第一下必须准”单独从整段平均误差里剥离出来。</w:t>
      </w:r>
    </w:p>
    <w:p>
      <w:pPr>
        <w:pStyle w:val="Heading2"/>
        <w:keepNext/>
        <w:spacing w:before="120" w:after="60"/>
      </w:pPr>
      <w:r>
        <w:rPr>
          <w:rFonts w:ascii="Noto Sans CJK SC" w:hAnsi="Noto Sans CJK SC" w:eastAsia="Noto Sans CJK SC" w:cs="Noto Sans CJK SC"/>
          <w:b/>
          <w:color w:val="2C6EA0"/>
          <w:sz w:val="24"/>
        </w:rPr>
        <w:t>4.3 序列误差项 L_seq</w:t>
      </w:r>
    </w:p>
    <w:tbl>
      <w:tblPr>
        <w:tblW w:type="auto" w:w="0"/>
        <w:jc w:val="center"/>
        <w:tblLayout w:type="autofit"/>
        <w:tblLook w:firstColumn="1" w:firstRow="1" w:lastColumn="0" w:lastRow="0" w:noHBand="0" w:noVBand="1" w:val="04A0"/>
      </w:tblPr>
      <w:tblGrid>
        <w:gridCol w:w="9746"/>
      </w:tblGrid>
      <w:tr>
        <w:tc>
          <w:tcPr>
            <w:tcW w:type="dxa" w:w="9746"/>
            <w:shd w:fill="F6F8FB"/>
            <w:tcBorders>
              <w:left w:val="single" w:sz="10" w:color="C7D7E7"/>
              <w:top w:val="single" w:sz="10" w:color="C7D7E7"/>
              <w:right w:val="single" w:sz="10" w:color="C7D7E7"/>
              <w:bottom w:val="single" w:sz="10" w:color="C7D7E7"/>
            </w:tcBorders>
            <w:tcMar>
              <w:top w:w="180" w:type="dxa"/>
              <w:start w:w="220" w:type="dxa"/>
              <w:bottom w:w="170" w:type="dxa"/>
              <w:end w:w="220" w:type="dxa"/>
            </w:tcMar>
          </w:tcPr>
          <w:p>
            <w:pPr>
              <w:spacing w:line="264" w:lineRule="auto"/>
              <w:jc w:val="center"/>
            </w:pPr>
            <w:r>
              <w:rPr>
                <w:rFonts w:ascii="Noto Sans Mono CJK SC" w:hAnsi="Noto Sans Mono CJK SC" w:eastAsia="Noto Sans Mono CJK SC" w:cs="Noto Sans Mono CJK SC"/>
                <w:color w:val="1F4E79"/>
                <w:sz w:val="21"/>
              </w:rPr>
              <w:t>L_seq(τ) = Σ_{t=0}^{H-1} ω_t · ℓ_t</w:t>
            </w:r>
          </w:p>
        </w:tc>
      </w:tr>
    </w:tbl>
    <w:p>
      <w:pPr>
        <w:spacing w:before="40" w:after="160"/>
        <w:jc w:val="center"/>
      </w:pPr>
      <w:r>
        <w:rPr>
          <w:rFonts w:ascii="Noto Serif CJK SC" w:hAnsi="Noto Serif CJK SC" w:eastAsia="Noto Serif CJK SC" w:cs="Noto Serif CJK SC"/>
          <w:i/>
          <w:color w:val="5F5F5F"/>
          <w:sz w:val="18"/>
        </w:rPr>
        <w:t>整段动作质量的加权误差</w:t>
      </w:r>
    </w:p>
    <w:p>
      <w:pPr>
        <w:pStyle w:val="ListBullet"/>
        <w:spacing w:after="50" w:line="298" w:lineRule="auto"/>
      </w:pPr>
      <w:r>
        <w:rPr>
          <w:rFonts w:ascii="Noto Serif CJK SC" w:hAnsi="Noto Serif CJK SC" w:eastAsia="Noto Serif CJK SC" w:cs="Noto Serif CJK SC"/>
          <w:sz w:val="21"/>
        </w:rPr>
        <w:t>该项保证 scheduler 不会只顾首帧而忽略后续动作的整体合理性。</w:t>
      </w:r>
    </w:p>
    <w:p>
      <w:pPr>
        <w:pStyle w:val="ListBullet"/>
        <w:spacing w:after="50" w:line="298" w:lineRule="auto"/>
      </w:pPr>
      <w:r>
        <w:rPr>
          <w:rFonts w:ascii="Noto Serif CJK SC" w:hAnsi="Noto Serif CJK SC" w:eastAsia="Noto Serif CJK SC" w:cs="Noto Serif CJK SC"/>
          <w:sz w:val="21"/>
        </w:rPr>
        <w:t>它不是简单平均，而是对每一帧分配语义权重；关键阶段权重大，平稳维持阶段权重小。</w:t>
      </w:r>
    </w:p>
    <w:p>
      <w:pPr>
        <w:pStyle w:val="Heading2"/>
        <w:keepNext/>
        <w:spacing w:before="120" w:after="60"/>
      </w:pPr>
      <w:r>
        <w:rPr>
          <w:rFonts w:ascii="Noto Sans CJK SC" w:hAnsi="Noto Sans CJK SC" w:eastAsia="Noto Sans CJK SC" w:cs="Noto Sans CJK SC"/>
          <w:b/>
          <w:color w:val="2C6EA0"/>
          <w:sz w:val="24"/>
        </w:rPr>
        <w:t>4.4 趋势误差项 L_Δ</w:t>
      </w:r>
    </w:p>
    <w:tbl>
      <w:tblPr>
        <w:tblW w:type="auto" w:w="0"/>
        <w:jc w:val="center"/>
        <w:tblLayout w:type="autofit"/>
        <w:tblLook w:firstColumn="1" w:firstRow="1" w:lastColumn="0" w:lastRow="0" w:noHBand="0" w:noVBand="1" w:val="04A0"/>
      </w:tblPr>
      <w:tblGrid>
        <w:gridCol w:w="9746"/>
      </w:tblGrid>
      <w:tr>
        <w:tc>
          <w:tcPr>
            <w:tcW w:type="dxa" w:w="9746"/>
            <w:shd w:fill="F6F8FB"/>
            <w:tcBorders>
              <w:left w:val="single" w:sz="10" w:color="C7D7E7"/>
              <w:top w:val="single" w:sz="10" w:color="C7D7E7"/>
              <w:right w:val="single" w:sz="10" w:color="C7D7E7"/>
              <w:bottom w:val="single" w:sz="10" w:color="C7D7E7"/>
            </w:tcBorders>
            <w:tcMar>
              <w:top w:w="180" w:type="dxa"/>
              <w:start w:w="220" w:type="dxa"/>
              <w:bottom w:w="170" w:type="dxa"/>
              <w:end w:w="220" w:type="dxa"/>
            </w:tcMar>
          </w:tcPr>
          <w:p>
            <w:pPr>
              <w:spacing w:line="264" w:lineRule="auto"/>
              <w:jc w:val="center"/>
            </w:pPr>
            <w:r>
              <w:rPr>
                <w:rFonts w:ascii="Noto Sans Mono CJK SC" w:hAnsi="Noto Sans Mono CJK SC" w:eastAsia="Noto Sans Mono CJK SC" w:cs="Noto Sans Mono CJK SC"/>
                <w:color w:val="1F4E79"/>
                <w:sz w:val="21"/>
              </w:rPr>
              <w:t>L_Δ(τ) = Σ_{t=1}^{H-1} ω′_t · Huber((â_t-â_{t-1}) - (a*_t-a*_{t-1}))</w:t>
            </w:r>
          </w:p>
        </w:tc>
      </w:tr>
    </w:tbl>
    <w:p>
      <w:pPr>
        <w:spacing w:before="40" w:after="160"/>
        <w:jc w:val="center"/>
      </w:pPr>
      <w:r>
        <w:rPr>
          <w:rFonts w:ascii="Noto Serif CJK SC" w:hAnsi="Noto Serif CJK SC" w:eastAsia="Noto Serif CJK SC" w:cs="Noto Serif CJK SC"/>
          <w:i/>
          <w:color w:val="5F5F5F"/>
          <w:sz w:val="18"/>
        </w:rPr>
        <w:t>动作变化趋势的误差</w:t>
      </w:r>
    </w:p>
    <w:p>
      <w:pPr>
        <w:pStyle w:val="ListBullet"/>
        <w:spacing w:after="50" w:line="298" w:lineRule="auto"/>
      </w:pPr>
      <w:r>
        <w:rPr>
          <w:rFonts w:ascii="Noto Serif CJK SC" w:hAnsi="Noto Serif CJK SC" w:eastAsia="Noto Serif CJK SC" w:cs="Noto Serif CJK SC"/>
          <w:sz w:val="21"/>
        </w:rPr>
        <w:t>它关注的不是某一帧的绝对值，而是动作的变化方向、幅度与节奏是否正确。</w:t>
      </w:r>
    </w:p>
    <w:p>
      <w:pPr>
        <w:pStyle w:val="ListBullet"/>
        <w:spacing w:after="50" w:line="298" w:lineRule="auto"/>
      </w:pPr>
      <w:r>
        <w:rPr>
          <w:rFonts w:ascii="Noto Serif CJK SC" w:hAnsi="Noto Serif CJK SC" w:eastAsia="Noto Serif CJK SC" w:cs="Noto Serif CJK SC"/>
          <w:sz w:val="21"/>
        </w:rPr>
        <w:t>对于抓取前接近、插入前微调、闭爪后抬起等阶段，趋势正确往往比单帧绝对值更决定成败。</w:t>
      </w:r>
    </w:p>
    <w:p>
      <w:pPr>
        <w:pStyle w:val="Heading2"/>
        <w:keepNext/>
        <w:spacing w:before="120" w:after="60"/>
      </w:pPr>
      <w:r>
        <w:rPr>
          <w:rFonts w:ascii="Noto Sans CJK SC" w:hAnsi="Noto Sans CJK SC" w:eastAsia="Noto Sans CJK SC" w:cs="Noto Sans CJK SC"/>
          <w:b/>
          <w:color w:val="2C6EA0"/>
          <w:sz w:val="24"/>
        </w:rPr>
        <w:t>4.5 非均匀时间权重 ω_t 的设计</w:t>
      </w:r>
    </w:p>
    <w:p>
      <w:pPr>
        <w:spacing w:after="100" w:before="0" w:line="324" w:lineRule="auto"/>
      </w:pPr>
      <w:r>
        <w:rPr>
          <w:rFonts w:ascii="Noto Serif CJK SC" w:hAnsi="Noto Serif CJK SC" w:eastAsia="Noto Serif CJK SC" w:cs="Noto Serif CJK SC"/>
          <w:b w:val="0"/>
          <w:i w:val="0"/>
        </w:rPr>
        <w:t>为了避免“所有时刻都一样重要”的平均化偏置，建议对序列项和趋势项使用带事件增强的时间权重。</w:t>
      </w:r>
    </w:p>
    <w:tbl>
      <w:tblPr>
        <w:tblW w:type="auto" w:w="0"/>
        <w:jc w:val="center"/>
        <w:tblLayout w:type="autofit"/>
        <w:tblLook w:firstColumn="1" w:firstRow="1" w:lastColumn="0" w:lastRow="0" w:noHBand="0" w:noVBand="1" w:val="04A0"/>
      </w:tblPr>
      <w:tblGrid>
        <w:gridCol w:w="9746"/>
      </w:tblGrid>
      <w:tr>
        <w:tc>
          <w:tcPr>
            <w:tcW w:type="dxa" w:w="9746"/>
            <w:shd w:fill="F6F8FB"/>
            <w:tcBorders>
              <w:left w:val="single" w:sz="10" w:color="C7D7E7"/>
              <w:top w:val="single" w:sz="10" w:color="C7D7E7"/>
              <w:right w:val="single" w:sz="10" w:color="C7D7E7"/>
              <w:bottom w:val="single" w:sz="10" w:color="C7D7E7"/>
            </w:tcBorders>
            <w:tcMar>
              <w:top w:w="180" w:type="dxa"/>
              <w:start w:w="220" w:type="dxa"/>
              <w:bottom w:w="170" w:type="dxa"/>
              <w:end w:w="220" w:type="dxa"/>
            </w:tcMar>
          </w:tcPr>
          <w:p>
            <w:pPr>
              <w:spacing w:line="264" w:lineRule="auto"/>
              <w:jc w:val="center"/>
            </w:pPr>
            <w:r>
              <w:rPr>
                <w:rFonts w:ascii="Noto Sans Mono CJK SC" w:hAnsi="Noto Sans Mono CJK SC" w:eastAsia="Noto Sans Mono CJK SC" w:cs="Noto Sans Mono CJK SC"/>
                <w:color w:val="1F4E79"/>
                <w:sz w:val="21"/>
              </w:rPr>
              <w:t>ω_t ∝ exp(-ρt) · [1 + η_0·1[t=0] + η_1·||Δa*_t||_1 + η_2·1[g*_t ≠ g*_{t-1}]]</w:t>
            </w:r>
          </w:p>
        </w:tc>
      </w:tr>
    </w:tbl>
    <w:p>
      <w:pPr>
        <w:spacing w:before="40" w:after="160"/>
        <w:jc w:val="center"/>
      </w:pPr>
      <w:r>
        <w:rPr>
          <w:rFonts w:ascii="Noto Serif CJK SC" w:hAnsi="Noto Serif CJK SC" w:eastAsia="Noto Serif CJK SC" w:cs="Noto Serif CJK SC"/>
          <w:i/>
          <w:color w:val="5F5F5F"/>
          <w:sz w:val="18"/>
        </w:rPr>
        <w:t>推荐的时间权重形式</w:t>
      </w:r>
    </w:p>
    <w:p>
      <w:pPr>
        <w:pStyle w:val="ListBullet"/>
        <w:spacing w:after="50" w:line="298" w:lineRule="auto"/>
      </w:pPr>
      <w:r>
        <w:rPr>
          <w:rFonts w:ascii="Noto Serif CJK SC" w:hAnsi="Noto Serif CJK SC" w:eastAsia="Noto Serif CJK SC" w:cs="Noto Serif CJK SC"/>
          <w:sz w:val="21"/>
        </w:rPr>
        <w:t>exp(-ρt)：强调近端动作，越接近当前执行时刻越重要。</w:t>
      </w:r>
    </w:p>
    <w:p>
      <w:pPr>
        <w:pStyle w:val="ListBullet"/>
        <w:spacing w:after="50" w:line="298" w:lineRule="auto"/>
      </w:pPr>
      <w:r>
        <w:rPr>
          <w:rFonts w:ascii="Noto Serif CJK SC" w:hAnsi="Noto Serif CJK SC" w:eastAsia="Noto Serif CJK SC" w:cs="Noto Serif CJK SC"/>
          <w:sz w:val="21"/>
        </w:rPr>
        <w:t>η_0·1[t=0]：给首帧额外加权，避免其在序列项中被后续帧稀释。</w:t>
      </w:r>
    </w:p>
    <w:p>
      <w:pPr>
        <w:pStyle w:val="ListBullet"/>
        <w:spacing w:after="50" w:line="298" w:lineRule="auto"/>
      </w:pPr>
      <w:r>
        <w:rPr>
          <w:rFonts w:ascii="Noto Serif CJK SC" w:hAnsi="Noto Serif CJK SC" w:eastAsia="Noto Serif CJK SC" w:cs="Noto Serif CJK SC"/>
          <w:sz w:val="21"/>
        </w:rPr>
        <w:t>η_1·||Δa*_t||_1：专家动作变化越剧烈，说明该时刻越可能是关键转折点。</w:t>
      </w:r>
    </w:p>
    <w:p>
      <w:pPr>
        <w:pStyle w:val="ListBullet"/>
        <w:spacing w:after="50" w:line="298" w:lineRule="auto"/>
      </w:pPr>
      <w:r>
        <w:rPr>
          <w:rFonts w:ascii="Noto Serif CJK SC" w:hAnsi="Noto Serif CJK SC" w:eastAsia="Noto Serif CJK SC" w:cs="Noto Serif CJK SC"/>
          <w:sz w:val="21"/>
        </w:rPr>
        <w:t>η_2·1[g*_t ≠ g*_{t-1}]：在 gripper 开/闭切换处增大权重，显式突出抓取与释放事件。</w:t>
      </w:r>
    </w:p>
    <w:tbl>
      <w:tblPr>
        <w:tblW w:type="auto" w:w="0"/>
        <w:jc w:val="center"/>
        <w:tblLook w:firstColumn="1" w:firstRow="1" w:lastColumn="0" w:lastRow="0" w:noHBand="0" w:noVBand="1" w:val="04A0"/>
      </w:tblPr>
      <w:tblGrid>
        <w:gridCol w:w="9746"/>
      </w:tblGrid>
      <w:tr>
        <w:tc>
          <w:tcPr>
            <w:tcW w:type="dxa" w:w="9746"/>
            <w:shd w:fill="EAF2F8"/>
            <w:tcBorders>
              <w:left w:val="single" w:sz="10" w:color="C7D7E7"/>
              <w:top w:val="single" w:sz="10" w:color="C7D7E7"/>
              <w:right w:val="single" w:sz="10" w:color="C7D7E7"/>
              <w:bottom w:val="single" w:sz="10" w:color="C7D7E7"/>
            </w:tcBorders>
            <w:tcMar>
              <w:top w:w="170" w:type="dxa"/>
              <w:start w:w="190" w:type="dxa"/>
              <w:bottom w:w="170" w:type="dxa"/>
              <w:end w:w="190" w:type="dxa"/>
            </w:tcMar>
          </w:tcPr>
          <w:p>
            <w:pPr>
              <w:spacing w:after="100"/>
            </w:pPr>
            <w:r>
              <w:rPr>
                <w:rFonts w:ascii="Noto Sans CJK SC" w:hAnsi="Noto Sans CJK SC" w:eastAsia="Noto Sans CJK SC" w:cs="Noto Sans CJK SC"/>
                <w:b/>
                <w:color w:val="1F4E79"/>
                <w:sz w:val="22"/>
              </w:rPr>
              <w:t>权重设计的行为偏置</w:t>
            </w:r>
          </w:p>
          <w:p>
            <w:pPr>
              <w:spacing w:after="0" w:line="300" w:lineRule="auto"/>
            </w:pPr>
            <w:r>
              <w:rPr>
                <w:rFonts w:ascii="Noto Serif CJK SC" w:hAnsi="Noto Serif CJK SC" w:eastAsia="Noto Serif CJK SC" w:cs="Noto Serif CJK SC"/>
                <w:color w:val="282828"/>
                <w:sz w:val="21"/>
              </w:rPr>
              <w:t>新的 ω_t 会自然把预算敏感度集中到“首帧、动作剧烈变化、gripper 切换、近端执行”这些真正影响任务成败的时刻。</w:t>
            </w:r>
          </w:p>
        </w:tc>
      </w:tr>
    </w:tbl>
    <w:p>
      <w:pPr>
        <w:spacing w:after="20"/>
      </w:pPr>
    </w:p>
    <w:p>
      <w:r>
        <w:br w:type="page"/>
      </w:r>
    </w:p>
    <w:p>
      <w:pPr>
        <w:pStyle w:val="Heading1"/>
        <w:keepNext/>
        <w:spacing w:before="200" w:after="80"/>
      </w:pPr>
      <w:r>
        <w:rPr>
          <w:rFonts w:ascii="Noto Sans CJK SC" w:hAnsi="Noto Sans CJK SC" w:eastAsia="Noto Sans CJK SC" w:cs="Noto Sans CJK SC"/>
          <w:b/>
          <w:color w:val="1F4E79"/>
          <w:sz w:val="30"/>
        </w:rPr>
        <w:t>5. 双锚点归一化：把绝对误差改写成样本自适应收益</w:t>
      </w:r>
    </w:p>
    <w:p>
      <w:pPr>
        <w:spacing w:after="140" w:before="0" w:line="324" w:lineRule="auto"/>
      </w:pPr>
      <w:r>
        <w:rPr>
          <w:rFonts w:ascii="Noto Serif CJK SC" w:hAnsi="Noto Serif CJK SC" w:eastAsia="Noto Serif CJK SC" w:cs="Noto Serif CJK SC"/>
          <w:b w:val="0"/>
          <w:i w:val="0"/>
        </w:rPr>
        <w:t>这是整套新奖励函数最关键的部分。它不再直接评价“当前路径的绝对误差有多小”，而是评价“在这个具体样本上，当前路径相对于低预算方案与高质量方案，恢复了多少可恢复的语义质量”。</w:t>
      </w:r>
    </w:p>
    <w:p>
      <w:pPr>
        <w:pStyle w:val="Heading2"/>
        <w:keepNext/>
        <w:spacing w:before="120" w:after="60"/>
      </w:pPr>
      <w:r>
        <w:rPr>
          <w:rFonts w:ascii="Noto Sans CJK SC" w:hAnsi="Noto Sans CJK SC" w:eastAsia="Noto Sans CJK SC" w:cs="Noto Sans CJK SC"/>
          <w:b/>
          <w:color w:val="2C6EA0"/>
          <w:sz w:val="24"/>
        </w:rPr>
        <w:t>5.1 两条锚点路径</w:t>
      </w:r>
    </w:p>
    <w:p>
      <w:pPr>
        <w:pStyle w:val="ListBullet"/>
        <w:spacing w:after="50" w:line="298" w:lineRule="auto"/>
      </w:pPr>
      <w:r>
        <w:rPr>
          <w:rFonts w:ascii="Noto Serif CJK SC" w:hAnsi="Noto Serif CJK SC" w:eastAsia="Noto Serif CJK SC" w:cs="Noto Serif CJK SC"/>
          <w:sz w:val="21"/>
        </w:rPr>
        <w:t>τ_lo：cheap anchor，代表低预算基线，建议固定 3 或 4 步。</w:t>
      </w:r>
    </w:p>
    <w:p>
      <w:pPr>
        <w:pStyle w:val="ListBullet"/>
        <w:spacing w:after="50" w:line="298" w:lineRule="auto"/>
      </w:pPr>
      <w:r>
        <w:rPr>
          <w:rFonts w:ascii="Noto Serif CJK SC" w:hAnsi="Noto Serif CJK SC" w:eastAsia="Noto Serif CJK SC" w:cs="Noto Serif CJK SC"/>
          <w:sz w:val="21"/>
        </w:rPr>
        <w:t>τ_hi：high-quality anchor，代表高预算近似上限，建议使用现有固定 25 步 rollout。</w:t>
      </w:r>
    </w:p>
    <w:p>
      <w:pPr>
        <w:pStyle w:val="ListBullet"/>
        <w:spacing w:after="50" w:line="298" w:lineRule="auto"/>
      </w:pPr>
      <w:r>
        <w:rPr>
          <w:rFonts w:ascii="Noto Serif CJK SC" w:hAnsi="Noto Serif CJK SC" w:eastAsia="Noto Serif CJK SC" w:cs="Noto Serif CJK SC"/>
          <w:sz w:val="21"/>
        </w:rPr>
        <w:t>两条锚点路径只用于计算奖励标量，不参与策略梯度回传。</w:t>
      </w:r>
    </w:p>
    <w:p>
      <w:pPr>
        <w:pStyle w:val="Heading2"/>
        <w:keepNext/>
        <w:spacing w:before="120" w:after="60"/>
      </w:pPr>
      <w:r>
        <w:rPr>
          <w:rFonts w:ascii="Noto Sans CJK SC" w:hAnsi="Noto Sans CJK SC" w:eastAsia="Noto Sans CJK SC" w:cs="Noto Sans CJK SC"/>
          <w:b/>
          <w:color w:val="2C6EA0"/>
          <w:sz w:val="24"/>
        </w:rPr>
        <w:t>5.2 每个样本自己的可恢复空间 gap</w:t>
      </w:r>
    </w:p>
    <w:tbl>
      <w:tblPr>
        <w:tblW w:type="auto" w:w="0"/>
        <w:jc w:val="center"/>
        <w:tblLayout w:type="autofit"/>
        <w:tblLook w:firstColumn="1" w:firstRow="1" w:lastColumn="0" w:lastRow="0" w:noHBand="0" w:noVBand="1" w:val="04A0"/>
      </w:tblPr>
      <w:tblGrid>
        <w:gridCol w:w="9746"/>
      </w:tblGrid>
      <w:tr>
        <w:tc>
          <w:tcPr>
            <w:tcW w:type="dxa" w:w="9746"/>
            <w:shd w:fill="F6F8FB"/>
            <w:tcBorders>
              <w:left w:val="single" w:sz="10" w:color="C7D7E7"/>
              <w:top w:val="single" w:sz="10" w:color="C7D7E7"/>
              <w:right w:val="single" w:sz="10" w:color="C7D7E7"/>
              <w:bottom w:val="single" w:sz="10" w:color="C7D7E7"/>
            </w:tcBorders>
            <w:tcMar>
              <w:top w:w="180" w:type="dxa"/>
              <w:start w:w="220" w:type="dxa"/>
              <w:bottom w:w="170" w:type="dxa"/>
              <w:end w:w="220" w:type="dxa"/>
            </w:tcMar>
          </w:tcPr>
          <w:p>
            <w:pPr>
              <w:spacing w:line="264" w:lineRule="auto"/>
              <w:jc w:val="center"/>
            </w:pPr>
            <w:r>
              <w:rPr>
                <w:rFonts w:ascii="Noto Sans Mono CJK SC" w:hAnsi="Noto Sans Mono CJK SC" w:eastAsia="Noto Sans Mono CJK SC" w:cs="Noto Sans Mono CJK SC"/>
                <w:color w:val="1F4E79"/>
                <w:sz w:val="21"/>
              </w:rPr>
              <w:t>L^lo_j = L_j(x, τ_lo),    L^hi_j = L_j(x, τ_hi)</w:t>
            </w:r>
          </w:p>
        </w:tc>
      </w:tr>
    </w:tbl>
    <w:p>
      <w:pPr>
        <w:spacing w:before="40" w:after="160"/>
        <w:jc w:val="center"/>
      </w:pPr>
      <w:r>
        <w:rPr>
          <w:rFonts w:ascii="Noto Serif CJK SC" w:hAnsi="Noto Serif CJK SC" w:eastAsia="Noto Serif CJK SC" w:cs="Noto Serif CJK SC"/>
          <w:i/>
          <w:color w:val="5F5F5F"/>
          <w:sz w:val="18"/>
        </w:rPr>
        <w:t>第 j 个质量项在两条锚点上的误差</w:t>
      </w:r>
    </w:p>
    <w:tbl>
      <w:tblPr>
        <w:tblW w:type="auto" w:w="0"/>
        <w:jc w:val="center"/>
        <w:tblLayout w:type="autofit"/>
        <w:tblLook w:firstColumn="1" w:firstRow="1" w:lastColumn="0" w:lastRow="0" w:noHBand="0" w:noVBand="1" w:val="04A0"/>
      </w:tblPr>
      <w:tblGrid>
        <w:gridCol w:w="9746"/>
      </w:tblGrid>
      <w:tr>
        <w:tc>
          <w:tcPr>
            <w:tcW w:type="dxa" w:w="9746"/>
            <w:shd w:fill="F6F8FB"/>
            <w:tcBorders>
              <w:left w:val="single" w:sz="10" w:color="C7D7E7"/>
              <w:top w:val="single" w:sz="10" w:color="C7D7E7"/>
              <w:right w:val="single" w:sz="10" w:color="C7D7E7"/>
              <w:bottom w:val="single" w:sz="10" w:color="C7D7E7"/>
            </w:tcBorders>
            <w:tcMar>
              <w:top w:w="180" w:type="dxa"/>
              <w:start w:w="220" w:type="dxa"/>
              <w:bottom w:w="170" w:type="dxa"/>
              <w:end w:w="220" w:type="dxa"/>
            </w:tcMar>
          </w:tcPr>
          <w:p>
            <w:pPr>
              <w:spacing w:line="264" w:lineRule="auto"/>
              <w:jc w:val="center"/>
            </w:pPr>
            <w:r>
              <w:rPr>
                <w:rFonts w:ascii="Noto Sans Mono CJK SC" w:hAnsi="Noto Sans Mono CJK SC" w:eastAsia="Noto Sans Mono CJK SC" w:cs="Noto Sans Mono CJK SC"/>
                <w:color w:val="1F4E79"/>
                <w:sz w:val="21"/>
              </w:rPr>
              <w:t>gap_j(x) = max(L^lo_j - L^hi_j, δ_j)</w:t>
            </w:r>
          </w:p>
        </w:tc>
      </w:tr>
    </w:tbl>
    <w:p>
      <w:pPr>
        <w:spacing w:before="40" w:after="160"/>
        <w:jc w:val="center"/>
      </w:pPr>
      <w:r>
        <w:rPr>
          <w:rFonts w:ascii="Noto Serif CJK SC" w:hAnsi="Noto Serif CJK SC" w:eastAsia="Noto Serif CJK SC" w:cs="Noto Serif CJK SC"/>
          <w:i/>
          <w:color w:val="5F5F5F"/>
          <w:sz w:val="18"/>
        </w:rPr>
        <w:t>样本在第 j 个质量项上的可恢复空间</w:t>
      </w:r>
    </w:p>
    <w:p>
      <w:pPr>
        <w:pStyle w:val="ListBullet"/>
        <w:spacing w:after="50" w:line="298" w:lineRule="auto"/>
      </w:pPr>
      <w:r>
        <w:rPr>
          <w:rFonts w:ascii="Noto Serif CJK SC" w:hAnsi="Noto Serif CJK SC" w:eastAsia="Noto Serif CJK SC" w:cs="Noto Serif CJK SC"/>
          <w:sz w:val="21"/>
        </w:rPr>
        <w:t>gap 大，说明从低预算到高预算确实能带来明显质量提升，样本更难。</w:t>
      </w:r>
    </w:p>
    <w:p>
      <w:pPr>
        <w:pStyle w:val="ListBullet"/>
        <w:spacing w:after="50" w:line="298" w:lineRule="auto"/>
      </w:pPr>
      <w:r>
        <w:rPr>
          <w:rFonts w:ascii="Noto Serif CJK SC" w:hAnsi="Noto Serif CJK SC" w:eastAsia="Noto Serif CJK SC" w:cs="Noto Serif CJK SC"/>
          <w:sz w:val="21"/>
        </w:rPr>
        <w:t>gap 小，说明低预算与高预算差异本来就很小，样本更简单。</w:t>
      </w:r>
    </w:p>
    <w:p>
      <w:pPr>
        <w:pStyle w:val="ListBullet"/>
        <w:spacing w:after="50" w:line="298" w:lineRule="auto"/>
      </w:pPr>
      <w:r>
        <w:rPr>
          <w:rFonts w:ascii="Noto Serif CJK SC" w:hAnsi="Noto Serif CJK SC" w:eastAsia="Noto Serif CJK SC" w:cs="Noto Serif CJK SC"/>
          <w:sz w:val="21"/>
        </w:rPr>
        <w:t>δ_j 只是数值稳定项，防止分母接近 0。</w:t>
      </w:r>
    </w:p>
    <w:p>
      <w:pPr>
        <w:pStyle w:val="Heading2"/>
        <w:keepNext/>
        <w:spacing w:before="120" w:after="60"/>
      </w:pPr>
      <w:r>
        <w:rPr>
          <w:rFonts w:ascii="Noto Sans CJK SC" w:hAnsi="Noto Sans CJK SC" w:eastAsia="Noto Sans CJK SC" w:cs="Noto Sans CJK SC"/>
          <w:b/>
          <w:color w:val="2C6EA0"/>
          <w:sz w:val="24"/>
        </w:rPr>
        <w:t>5.3 当前路径恢复了多少比例的质量</w:t>
      </w:r>
    </w:p>
    <w:tbl>
      <w:tblPr>
        <w:tblW w:type="auto" w:w="0"/>
        <w:jc w:val="center"/>
        <w:tblLayout w:type="autofit"/>
        <w:tblLook w:firstColumn="1" w:firstRow="1" w:lastColumn="0" w:lastRow="0" w:noHBand="0" w:noVBand="1" w:val="04A0"/>
      </w:tblPr>
      <w:tblGrid>
        <w:gridCol w:w="9746"/>
      </w:tblGrid>
      <w:tr>
        <w:tc>
          <w:tcPr>
            <w:tcW w:type="dxa" w:w="9746"/>
            <w:shd w:fill="F6F8FB"/>
            <w:tcBorders>
              <w:left w:val="single" w:sz="10" w:color="C7D7E7"/>
              <w:top w:val="single" w:sz="10" w:color="C7D7E7"/>
              <w:right w:val="single" w:sz="10" w:color="C7D7E7"/>
              <w:bottom w:val="single" w:sz="10" w:color="C7D7E7"/>
            </w:tcBorders>
            <w:tcMar>
              <w:top w:w="180" w:type="dxa"/>
              <w:start w:w="220" w:type="dxa"/>
              <w:bottom w:w="170" w:type="dxa"/>
              <w:end w:w="220" w:type="dxa"/>
            </w:tcMar>
          </w:tcPr>
          <w:p>
            <w:pPr>
              <w:spacing w:line="264" w:lineRule="auto"/>
              <w:jc w:val="center"/>
            </w:pPr>
            <w:r>
              <w:rPr>
                <w:rFonts w:ascii="Noto Sans Mono CJK SC" w:hAnsi="Noto Sans Mono CJK SC" w:eastAsia="Noto Sans Mono CJK SC" w:cs="Noto Sans Mono CJK SC"/>
                <w:color w:val="1F4E79"/>
                <w:sz w:val="21"/>
              </w:rPr>
              <w:t>g_j(x, τ) = clip((L^lo_j - L_j(x, τ)) / gap_j(x), -1, 1)</w:t>
            </w:r>
          </w:p>
        </w:tc>
      </w:tr>
    </w:tbl>
    <w:p>
      <w:pPr>
        <w:spacing w:before="40" w:after="160"/>
        <w:jc w:val="center"/>
      </w:pPr>
      <w:r>
        <w:rPr>
          <w:rFonts w:ascii="Noto Serif CJK SC" w:hAnsi="Noto Serif CJK SC" w:eastAsia="Noto Serif CJK SC" w:cs="Noto Serif CJK SC"/>
          <w:i/>
          <w:color w:val="5F5F5F"/>
          <w:sz w:val="18"/>
        </w:rPr>
        <w:t>归一化质量收益 g_j</w:t>
      </w:r>
    </w:p>
    <w:p>
      <w:pPr>
        <w:pStyle w:val="ListBullet"/>
        <w:spacing w:after="50" w:line="298" w:lineRule="auto"/>
      </w:pPr>
      <w:r>
        <w:rPr>
          <w:rFonts w:ascii="Noto Serif CJK SC" w:hAnsi="Noto Serif CJK SC" w:eastAsia="Noto Serif CJK SC" w:cs="Noto Serif CJK SC"/>
          <w:sz w:val="21"/>
        </w:rPr>
        <w:t>g_j = 0：当前路径与 cheap anchor 基本持平。</w:t>
      </w:r>
    </w:p>
    <w:p>
      <w:pPr>
        <w:pStyle w:val="ListBullet"/>
        <w:spacing w:after="50" w:line="298" w:lineRule="auto"/>
      </w:pPr>
      <w:r>
        <w:rPr>
          <w:rFonts w:ascii="Noto Serif CJK SC" w:hAnsi="Noto Serif CJK SC" w:eastAsia="Noto Serif CJK SC" w:cs="Noto Serif CJK SC"/>
          <w:sz w:val="21"/>
        </w:rPr>
        <w:t>g_j = 1：当前路径已经追平 high-quality anchor。</w:t>
      </w:r>
    </w:p>
    <w:p>
      <w:pPr>
        <w:pStyle w:val="ListBullet"/>
        <w:spacing w:after="50" w:line="298" w:lineRule="auto"/>
      </w:pPr>
      <w:r>
        <w:rPr>
          <w:rFonts w:ascii="Noto Serif CJK SC" w:hAnsi="Noto Serif CJK SC" w:eastAsia="Noto Serif CJK SC" w:cs="Noto Serif CJK SC"/>
          <w:sz w:val="21"/>
        </w:rPr>
        <w:t>g_j &lt; 0：当前路径甚至比 cheap anchor 还差，必须明确惩罚。</w:t>
      </w:r>
    </w:p>
    <w:p>
      <w:pPr>
        <w:pStyle w:val="Heading2"/>
        <w:keepNext/>
        <w:spacing w:before="120" w:after="60"/>
      </w:pPr>
      <w:r>
        <w:rPr>
          <w:rFonts w:ascii="Noto Sans CJK SC" w:hAnsi="Noto Sans CJK SC" w:eastAsia="Noto Sans CJK SC" w:cs="Noto Sans CJK SC"/>
          <w:b/>
          <w:color w:val="2C6EA0"/>
          <w:sz w:val="24"/>
        </w:rPr>
        <w:t>5.4 样本难度权重 d_j(x)</w:t>
      </w:r>
    </w:p>
    <w:tbl>
      <w:tblPr>
        <w:tblW w:type="auto" w:w="0"/>
        <w:jc w:val="center"/>
        <w:tblLayout w:type="autofit"/>
        <w:tblLook w:firstColumn="1" w:firstRow="1" w:lastColumn="0" w:lastRow="0" w:noHBand="0" w:noVBand="1" w:val="04A0"/>
      </w:tblPr>
      <w:tblGrid>
        <w:gridCol w:w="9746"/>
      </w:tblGrid>
      <w:tr>
        <w:tc>
          <w:tcPr>
            <w:tcW w:type="dxa" w:w="9746"/>
            <w:shd w:fill="F6F8FB"/>
            <w:tcBorders>
              <w:left w:val="single" w:sz="10" w:color="C7D7E7"/>
              <w:top w:val="single" w:sz="10" w:color="C7D7E7"/>
              <w:right w:val="single" w:sz="10" w:color="C7D7E7"/>
              <w:bottom w:val="single" w:sz="10" w:color="C7D7E7"/>
            </w:tcBorders>
            <w:tcMar>
              <w:top w:w="180" w:type="dxa"/>
              <w:start w:w="220" w:type="dxa"/>
              <w:bottom w:w="170" w:type="dxa"/>
              <w:end w:w="220" w:type="dxa"/>
            </w:tcMar>
          </w:tcPr>
          <w:p>
            <w:pPr>
              <w:spacing w:line="264" w:lineRule="auto"/>
              <w:jc w:val="center"/>
            </w:pPr>
            <w:r>
              <w:rPr>
                <w:rFonts w:ascii="Noto Sans Mono CJK SC" w:hAnsi="Noto Sans Mono CJK SC" w:eastAsia="Noto Sans Mono CJK SC" w:cs="Noto Sans Mono CJK SC"/>
                <w:color w:val="1F4E79"/>
                <w:sz w:val="21"/>
              </w:rPr>
              <w:t>d_j(x) = max(L^lo_j - L^hi_j, 0) / [max(L^lo_j - L^hi_j, 0) + κ_j]</w:t>
            </w:r>
          </w:p>
        </w:tc>
      </w:tr>
    </w:tbl>
    <w:p>
      <w:pPr>
        <w:spacing w:before="40" w:after="160"/>
        <w:jc w:val="center"/>
      </w:pPr>
      <w:r>
        <w:rPr>
          <w:rFonts w:ascii="Noto Serif CJK SC" w:hAnsi="Noto Serif CJK SC" w:eastAsia="Noto Serif CJK SC" w:cs="Noto Serif CJK SC"/>
          <w:i/>
          <w:color w:val="5F5F5F"/>
          <w:sz w:val="18"/>
        </w:rPr>
        <w:t>把样本难度编码进奖励权重</w:t>
      </w:r>
    </w:p>
    <w:p>
      <w:pPr>
        <w:pStyle w:val="ListBullet"/>
        <w:spacing w:after="50" w:line="298" w:lineRule="auto"/>
      </w:pPr>
      <w:r>
        <w:rPr>
          <w:rFonts w:ascii="Noto Serif CJK SC" w:hAnsi="Noto Serif CJK SC" w:eastAsia="Noto Serif CJK SC" w:cs="Noto Serif CJK SC"/>
          <w:sz w:val="21"/>
        </w:rPr>
        <w:t>当 gap 很小，d_j(x) 也会很小：说明该样本本身不值得为质量收益支付太多额外预算。</w:t>
      </w:r>
    </w:p>
    <w:p>
      <w:pPr>
        <w:pStyle w:val="ListBullet"/>
        <w:spacing w:after="50" w:line="298" w:lineRule="auto"/>
      </w:pPr>
      <w:r>
        <w:rPr>
          <w:rFonts w:ascii="Noto Serif CJK SC" w:hAnsi="Noto Serif CJK SC" w:eastAsia="Noto Serif CJK SC" w:cs="Noto Serif CJK SC"/>
          <w:sz w:val="21"/>
        </w:rPr>
        <w:t>当 gap 很大，d_j(x) 会接近 1：说明该样本确实需要更多视频计算来恢复质量。</w:t>
      </w:r>
    </w:p>
    <w:p>
      <w:pPr>
        <w:pStyle w:val="Heading2"/>
        <w:keepNext/>
        <w:spacing w:before="120" w:after="60"/>
      </w:pPr>
      <w:r>
        <w:rPr>
          <w:rFonts w:ascii="Noto Sans CJK SC" w:hAnsi="Noto Sans CJK SC" w:eastAsia="Noto Sans CJK SC" w:cs="Noto Sans CJK SC"/>
          <w:b/>
          <w:color w:val="2C6EA0"/>
          <w:sz w:val="24"/>
        </w:rPr>
        <w:t>5.5 正收益与负收益分开建模</w:t>
      </w:r>
    </w:p>
    <w:tbl>
      <w:tblPr>
        <w:tblW w:type="auto" w:w="0"/>
        <w:jc w:val="center"/>
        <w:tblLayout w:type="autofit"/>
        <w:tblLook w:firstColumn="1" w:firstRow="1" w:lastColumn="0" w:lastRow="0" w:noHBand="0" w:noVBand="1" w:val="04A0"/>
      </w:tblPr>
      <w:tblGrid>
        <w:gridCol w:w="9746"/>
      </w:tblGrid>
      <w:tr>
        <w:tc>
          <w:tcPr>
            <w:tcW w:type="dxa" w:w="9746"/>
            <w:shd w:fill="F6F8FB"/>
            <w:tcBorders>
              <w:left w:val="single" w:sz="10" w:color="C7D7E7"/>
              <w:top w:val="single" w:sz="10" w:color="C7D7E7"/>
              <w:right w:val="single" w:sz="10" w:color="C7D7E7"/>
              <w:bottom w:val="single" w:sz="10" w:color="C7D7E7"/>
            </w:tcBorders>
            <w:tcMar>
              <w:top w:w="180" w:type="dxa"/>
              <w:start w:w="220" w:type="dxa"/>
              <w:bottom w:w="170" w:type="dxa"/>
              <w:end w:w="220" w:type="dxa"/>
            </w:tcMar>
          </w:tcPr>
          <w:p>
            <w:pPr>
              <w:spacing w:line="264" w:lineRule="auto"/>
              <w:jc w:val="center"/>
            </w:pPr>
            <w:r>
              <w:rPr>
                <w:rFonts w:ascii="Noto Sans Mono CJK SC" w:hAnsi="Noto Sans Mono CJK SC" w:eastAsia="Noto Sans Mono CJK SC" w:cs="Noto Sans Mono CJK SC"/>
                <w:color w:val="1F4E79"/>
                <w:sz w:val="21"/>
              </w:rPr>
              <w:t>Q_j(x, τ) = w_j · [ d_j(x)·max(g_j,0) - λ_neg·max(-g_j,0) ]</w:t>
            </w:r>
          </w:p>
        </w:tc>
      </w:tr>
    </w:tbl>
    <w:p>
      <w:pPr>
        <w:spacing w:before="40" w:after="160"/>
        <w:jc w:val="center"/>
      </w:pPr>
      <w:r>
        <w:rPr>
          <w:rFonts w:ascii="Noto Serif CJK SC" w:hAnsi="Noto Serif CJK SC" w:eastAsia="Noto Serif CJK SC" w:cs="Noto Serif CJK SC"/>
          <w:i/>
          <w:color w:val="5F5F5F"/>
          <w:sz w:val="18"/>
        </w:rPr>
        <w:t>第 j 个质量项的最终收益</w:t>
      </w:r>
    </w:p>
    <w:p>
      <w:pPr>
        <w:pStyle w:val="ListBullet"/>
        <w:spacing w:after="50" w:line="298" w:lineRule="auto"/>
      </w:pPr>
      <w:r>
        <w:rPr>
          <w:rFonts w:ascii="Noto Serif CJK SC" w:hAnsi="Noto Serif CJK SC" w:eastAsia="Noto Serif CJK SC" w:cs="Noto Serif CJK SC"/>
          <w:sz w:val="21"/>
        </w:rPr>
        <w:t>正收益乘以 d_j(x)：简单样本即便恢复得不错，也不应拿到过高奖励；困难样本的质量改进则应该被充分承认。</w:t>
      </w:r>
    </w:p>
    <w:p>
      <w:pPr>
        <w:pStyle w:val="ListBullet"/>
        <w:spacing w:after="50" w:line="298" w:lineRule="auto"/>
      </w:pPr>
      <w:r>
        <w:rPr>
          <w:rFonts w:ascii="Noto Serif CJK SC" w:hAnsi="Noto Serif CJK SC" w:eastAsia="Noto Serif CJK SC" w:cs="Noto Serif CJK SC"/>
          <w:sz w:val="21"/>
        </w:rPr>
        <w:t>负收益不乘 d_j(x)：简单样本虽然不值得多奖励，但也绝不能允许它退化到比 cheap anchor 更差。</w:t>
      </w:r>
    </w:p>
    <w:p>
      <w:pPr>
        <w:pStyle w:val="ListBullet"/>
        <w:spacing w:after="50" w:line="298" w:lineRule="auto"/>
      </w:pPr>
      <w:r>
        <w:rPr>
          <w:rFonts w:ascii="Noto Serif CJK SC" w:hAnsi="Noto Serif CJK SC" w:eastAsia="Noto Serif CJK SC" w:cs="Noto Serif CJK SC"/>
          <w:sz w:val="21"/>
        </w:rPr>
        <w:t>这个拆分直接对应“简单样本早停、困难样本多算、任何样本都不能明显退化”的训练目标。</w:t>
      </w:r>
    </w:p>
    <w:tbl>
      <w:tblPr>
        <w:tblW w:type="auto" w:w="0"/>
        <w:jc w:val="center"/>
        <w:tblLook w:firstColumn="1" w:firstRow="1" w:lastColumn="0" w:lastRow="0" w:noHBand="0" w:noVBand="1" w:val="04A0"/>
      </w:tblPr>
      <w:tblGrid>
        <w:gridCol w:w="9746"/>
      </w:tblGrid>
      <w:tr>
        <w:tc>
          <w:tcPr>
            <w:tcW w:type="dxa" w:w="9746"/>
            <w:shd w:fill="EAF2F8"/>
            <w:tcBorders>
              <w:left w:val="single" w:sz="10" w:color="C7D7E7"/>
              <w:top w:val="single" w:sz="10" w:color="C7D7E7"/>
              <w:right w:val="single" w:sz="10" w:color="C7D7E7"/>
              <w:bottom w:val="single" w:sz="10" w:color="C7D7E7"/>
            </w:tcBorders>
            <w:tcMar>
              <w:top w:w="170" w:type="dxa"/>
              <w:start w:w="190" w:type="dxa"/>
              <w:bottom w:w="170" w:type="dxa"/>
              <w:end w:w="190" w:type="dxa"/>
            </w:tcMar>
          </w:tcPr>
          <w:p>
            <w:pPr>
              <w:spacing w:after="100"/>
            </w:pPr>
            <w:r>
              <w:rPr>
                <w:rFonts w:ascii="Noto Sans CJK SC" w:hAnsi="Noto Sans CJK SC" w:eastAsia="Noto Sans CJK SC" w:cs="Noto Sans CJK SC"/>
                <w:b/>
                <w:color w:val="1F4E79"/>
                <w:sz w:val="22"/>
              </w:rPr>
              <w:t>双锚点归一化的实际效果</w:t>
            </w:r>
          </w:p>
          <w:p>
            <w:pPr>
              <w:spacing w:after="0" w:line="300" w:lineRule="auto"/>
            </w:pPr>
            <w:r>
              <w:rPr>
                <w:rFonts w:ascii="Noto Serif CJK SC" w:hAnsi="Noto Serif CJK SC" w:eastAsia="Noto Serif CJK SC" w:cs="Noto Serif CJK SC"/>
                <w:color w:val="282828"/>
                <w:sz w:val="21"/>
              </w:rPr>
              <w:t>它不是多加两个 baseline 那么简单，而是为每个样本建立了一套自己的质量坐标系：低预算点定义下限，高质量点定义上限，当前路径的价值按“恢复比例”而不是“绝对误差”计算。</w:t>
            </w:r>
          </w:p>
        </w:tc>
      </w:tr>
    </w:tbl>
    <w:p>
      <w:pPr>
        <w:spacing w:after="20"/>
      </w:pPr>
    </w:p>
    <w:p>
      <w:pPr>
        <w:pStyle w:val="Heading1"/>
        <w:keepNext/>
        <w:spacing w:before="200" w:after="80"/>
      </w:pPr>
      <w:r>
        <w:rPr>
          <w:rFonts w:ascii="Noto Sans CJK SC" w:hAnsi="Noto Sans CJK SC" w:eastAsia="Noto Sans CJK SC" w:cs="Noto Sans CJK SC"/>
          <w:b/>
          <w:color w:val="1F4E79"/>
          <w:sz w:val="30"/>
        </w:rPr>
        <w:t>6. 非线性计算成本 C(τ)</w:t>
      </w:r>
    </w:p>
    <w:p>
      <w:pPr>
        <w:spacing w:after="120" w:before="0" w:line="324" w:lineRule="auto"/>
      </w:pPr>
      <w:r>
        <w:rPr>
          <w:rFonts w:ascii="Noto Serif CJK SC" w:hAnsi="Noto Serif CJK SC" w:eastAsia="Noto Serif CJK SC" w:cs="Noto Serif CJK SC"/>
          <w:b w:val="0"/>
          <w:i w:val="0"/>
        </w:rPr>
        <w:t>成本函数不再采用线性 video_steps，而是采用凸成本。这样前几步增加的代价较小，后几步代价迅速升高，预算会更自然地保留给少数真正困难的样本。</w:t>
      </w:r>
    </w:p>
    <w:tbl>
      <w:tblPr>
        <w:tblW w:type="auto" w:w="0"/>
        <w:jc w:val="center"/>
        <w:tblLayout w:type="autofit"/>
        <w:tblLook w:firstColumn="1" w:firstRow="1" w:lastColumn="0" w:lastRow="0" w:noHBand="0" w:noVBand="1" w:val="04A0"/>
      </w:tblPr>
      <w:tblGrid>
        <w:gridCol w:w="9746"/>
      </w:tblGrid>
      <w:tr>
        <w:tc>
          <w:tcPr>
            <w:tcW w:type="dxa" w:w="9746"/>
            <w:shd w:fill="F6F8FB"/>
            <w:tcBorders>
              <w:left w:val="single" w:sz="10" w:color="C7D7E7"/>
              <w:top w:val="single" w:sz="10" w:color="C7D7E7"/>
              <w:right w:val="single" w:sz="10" w:color="C7D7E7"/>
              <w:bottom w:val="single" w:sz="10" w:color="C7D7E7"/>
            </w:tcBorders>
            <w:tcMar>
              <w:top w:w="180" w:type="dxa"/>
              <w:start w:w="220" w:type="dxa"/>
              <w:bottom w:w="170" w:type="dxa"/>
              <w:end w:w="220" w:type="dxa"/>
            </w:tcMar>
          </w:tcPr>
          <w:p>
            <w:pPr>
              <w:spacing w:line="264" w:lineRule="auto"/>
              <w:jc w:val="center"/>
            </w:pPr>
            <w:r>
              <w:rPr>
                <w:rFonts w:ascii="Noto Sans Mono CJK SC" w:hAnsi="Noto Sans Mono CJK SC" w:eastAsia="Noto Sans Mono CJK SC" w:cs="Noto Sans Mono CJK SC"/>
                <w:color w:val="1F4E79"/>
                <w:sz w:val="21"/>
              </w:rPr>
              <w:t>C(τ) = [ Σ_{k=1}^{N_v(τ)} ( c_0 + c_1·(k / K_max)^γ ) ] / [ Σ_{k=1}^{K_max} ( c_0 + c_1·(k / K_max)^γ ) ],   γ &gt; 1</w:t>
            </w:r>
          </w:p>
        </w:tc>
      </w:tr>
    </w:tbl>
    <w:p>
      <w:pPr>
        <w:spacing w:before="40" w:after="160"/>
        <w:jc w:val="center"/>
      </w:pPr>
      <w:r>
        <w:rPr>
          <w:rFonts w:ascii="Noto Serif CJK SC" w:hAnsi="Noto Serif CJK SC" w:eastAsia="Noto Serif CJK SC" w:cs="Noto Serif CJK SC"/>
          <w:i/>
          <w:color w:val="5F5F5F"/>
          <w:sz w:val="18"/>
        </w:rPr>
        <w:t>归一化凸成本函数</w:t>
      </w:r>
    </w:p>
    <w:p>
      <w:pPr>
        <w:pStyle w:val="ListBullet"/>
        <w:spacing w:after="50" w:line="298" w:lineRule="auto"/>
      </w:pPr>
      <w:r>
        <w:rPr>
          <w:rFonts w:ascii="Noto Serif CJK SC" w:hAnsi="Noto Serif CJK SC" w:eastAsia="Noto Serif CJK SC" w:cs="Noto Serif CJK SC"/>
          <w:sz w:val="21"/>
        </w:rPr>
        <w:t>N_v(τ) 表示当前路径实际使用的视频去噪决策步数。</w:t>
      </w:r>
    </w:p>
    <w:p>
      <w:pPr>
        <w:pStyle w:val="ListBullet"/>
        <w:spacing w:after="50" w:line="298" w:lineRule="auto"/>
      </w:pPr>
      <w:r>
        <w:rPr>
          <w:rFonts w:ascii="Noto Serif CJK SC" w:hAnsi="Noto Serif CJK SC" w:eastAsia="Noto Serif CJK SC" w:cs="Noto Serif CJK SC"/>
          <w:sz w:val="21"/>
        </w:rPr>
        <w:t>γ &gt; 1 使成本函数呈凸形，越往后的额外一步越贵。</w:t>
      </w:r>
    </w:p>
    <w:p>
      <w:pPr>
        <w:pStyle w:val="ListBullet"/>
        <w:spacing w:after="50" w:line="298" w:lineRule="auto"/>
      </w:pPr>
      <w:r>
        <w:rPr>
          <w:rFonts w:ascii="Noto Serif CJK SC" w:hAnsi="Noto Serif CJK SC" w:eastAsia="Noto Serif CJK SC" w:cs="Noto Serif CJK SC"/>
          <w:sz w:val="21"/>
        </w:rPr>
        <w:t>归一化后 C(τ) 落在 [0, 1]，便于与语义收益做量纲匹配。</w:t>
      </w:r>
    </w:p>
    <w:p>
      <w:pPr>
        <w:pStyle w:val="Heading1"/>
        <w:keepNext/>
        <w:spacing w:before="200" w:after="80"/>
      </w:pPr>
      <w:r>
        <w:rPr>
          <w:rFonts w:ascii="Noto Sans CJK SC" w:hAnsi="Noto Sans CJK SC" w:eastAsia="Noto Sans CJK SC" w:cs="Noto Sans CJK SC"/>
          <w:b/>
          <w:color w:val="1F4E79"/>
          <w:sz w:val="30"/>
        </w:rPr>
        <w:t>7. 最终奖励函数汇总</w:t>
      </w:r>
    </w:p>
    <w:tbl>
      <w:tblPr>
        <w:tblW w:type="auto" w:w="0"/>
        <w:jc w:val="center"/>
        <w:tblLayout w:type="autofit"/>
        <w:tblLook w:firstColumn="1" w:firstRow="1" w:lastColumn="0" w:lastRow="0" w:noHBand="0" w:noVBand="1" w:val="04A0"/>
      </w:tblPr>
      <w:tblGrid>
        <w:gridCol w:w="9746"/>
      </w:tblGrid>
      <w:tr>
        <w:tc>
          <w:tcPr>
            <w:tcW w:type="dxa" w:w="9746"/>
            <w:shd w:fill="F6F8FB"/>
            <w:tcBorders>
              <w:left w:val="single" w:sz="10" w:color="C7D7E7"/>
              <w:top w:val="single" w:sz="10" w:color="C7D7E7"/>
              <w:right w:val="single" w:sz="10" w:color="C7D7E7"/>
              <w:bottom w:val="single" w:sz="10" w:color="C7D7E7"/>
            </w:tcBorders>
            <w:tcMar>
              <w:top w:w="180" w:type="dxa"/>
              <w:start w:w="220" w:type="dxa"/>
              <w:bottom w:w="170" w:type="dxa"/>
              <w:end w:w="220" w:type="dxa"/>
            </w:tcMar>
          </w:tcPr>
          <w:p>
            <w:pPr>
              <w:spacing w:line="264" w:lineRule="auto"/>
              <w:jc w:val="center"/>
            </w:pPr>
            <w:r>
              <w:rPr>
                <w:rFonts w:ascii="Noto Sans Mono CJK SC" w:hAnsi="Noto Sans Mono CJK SC" w:eastAsia="Noto Sans Mono CJK SC" w:cs="Noto Sans Mono CJK SC"/>
                <w:color w:val="1F4E79"/>
                <w:sz w:val="21"/>
              </w:rPr>
              <w:t>R(x, τ) = Σ_{j ∈ {first, seq, Δ}} w_j · [ d_j(x)·max(g_j(x,τ),0) - λ_neg·max(-g_j(x,τ),0) ] - λ_c·C(τ)</w:t>
            </w:r>
          </w:p>
        </w:tc>
      </w:tr>
    </w:tbl>
    <w:p>
      <w:pPr>
        <w:spacing w:before="40" w:after="160"/>
        <w:jc w:val="center"/>
      </w:pPr>
      <w:r>
        <w:rPr>
          <w:rFonts w:ascii="Noto Serif CJK SC" w:hAnsi="Noto Serif CJK SC" w:eastAsia="Noto Serif CJK SC" w:cs="Noto Serif CJK SC"/>
          <w:i/>
          <w:color w:val="5F5F5F"/>
          <w:sz w:val="18"/>
        </w:rPr>
        <w:t>推荐的最终 reward</w:t>
      </w:r>
    </w:p>
    <w:p>
      <w:pPr>
        <w:spacing w:after="120" w:before="0" w:line="324" w:lineRule="auto"/>
      </w:pPr>
      <w:r>
        <w:rPr>
          <w:rFonts w:ascii="Noto Serif CJK SC" w:hAnsi="Noto Serif CJK SC" w:eastAsia="Noto Serif CJK SC" w:cs="Noto Serif CJK SC"/>
          <w:b w:val="0"/>
          <w:i w:val="0"/>
        </w:rPr>
        <w:t>这个总式把三类质量项、双锚点归一化、样本难度权重和凸成本函数全部统一到了一个路径级标量奖励中，可直接接入当前累计 Hazard + PPO 的训练主线。</w:t>
      </w:r>
    </w:p>
    <w:p>
      <w:pPr>
        <w:pStyle w:val="Heading2"/>
        <w:keepNext/>
        <w:spacing w:before="120" w:after="60"/>
      </w:pPr>
      <w:r>
        <w:rPr>
          <w:rFonts w:ascii="Noto Sans CJK SC" w:hAnsi="Noto Sans CJK SC" w:eastAsia="Noto Sans CJK SC" w:cs="Noto Sans CJK SC"/>
          <w:b/>
          <w:color w:val="2C6EA0"/>
          <w:sz w:val="24"/>
        </w:rPr>
        <w:t>7.1 旧方案与新方案的结构对比</w:t>
      </w:r>
    </w:p>
    <w:tbl>
      <w:tblPr>
        <w:tblStyle w:val="TableGrid"/>
        <w:tblW w:type="auto" w:w="0"/>
        <w:jc w:val="center"/>
        <w:tblLayout w:type="fixed"/>
        <w:tblLook w:firstColumn="1" w:firstRow="1" w:lastColumn="0" w:lastRow="0" w:noHBand="0" w:noVBand="1" w:val="04A0"/>
      </w:tblPr>
      <w:tblGrid>
        <w:gridCol w:w="3249"/>
        <w:gridCol w:w="3249"/>
        <w:gridCol w:w="3249"/>
      </w:tblGrid>
      <w:tr>
        <w:trPr>
          <w:tblHeader w:val="true"/>
        </w:trPr>
        <w:tc>
          <w:tcPr>
            <w:tcW w:type="dxa" w:w="2268"/>
            <w:vAlign w:val="center"/>
            <w:tcMar>
              <w:top w:w="120" w:type="dxa"/>
              <w:start w:w="140" w:type="dxa"/>
              <w:bottom w:w="120" w:type="dxa"/>
              <w:end w:w="140" w:type="dxa"/>
            </w:tcMar>
            <w:tcBorders>
              <w:left w:val="single" w:sz="6" w:color="C7D7E7"/>
              <w:top w:val="single" w:sz="6" w:color="C7D7E7"/>
              <w:right w:val="single" w:sz="6" w:color="C7D7E7"/>
              <w:bottom w:val="single" w:sz="6" w:color="C7D7E7"/>
            </w:tcBorders>
            <w:shd w:fill="EAF2F8"/>
          </w:tcPr>
          <w:p>
            <w:pPr>
              <w:spacing w:before="40" w:after="40" w:line="269" w:lineRule="auto"/>
            </w:pPr>
            <w:r>
              <w:rPr>
                <w:rFonts w:ascii="Noto Sans CJK SC" w:hAnsi="Noto Sans CJK SC" w:eastAsia="Noto Sans CJK SC" w:cs="Noto Sans CJK SC"/>
                <w:b/>
                <w:color w:val="1F4E79"/>
                <w:sz w:val="20"/>
              </w:rPr>
              <w:t>维度</w:t>
            </w:r>
          </w:p>
        </w:tc>
        <w:tc>
          <w:tcPr>
            <w:tcW w:type="dxa" w:w="2948"/>
            <w:vAlign w:val="center"/>
            <w:tcMar>
              <w:top w:w="120" w:type="dxa"/>
              <w:start w:w="140" w:type="dxa"/>
              <w:bottom w:w="120" w:type="dxa"/>
              <w:end w:w="140" w:type="dxa"/>
            </w:tcMar>
            <w:tcBorders>
              <w:left w:val="single" w:sz="6" w:color="C7D7E7"/>
              <w:top w:val="single" w:sz="6" w:color="C7D7E7"/>
              <w:right w:val="single" w:sz="6" w:color="C7D7E7"/>
              <w:bottom w:val="single" w:sz="6" w:color="C7D7E7"/>
            </w:tcBorders>
            <w:shd w:fill="EAF2F8"/>
          </w:tcPr>
          <w:p>
            <w:pPr>
              <w:spacing w:before="40" w:after="40" w:line="269" w:lineRule="auto"/>
            </w:pPr>
            <w:r>
              <w:rPr>
                <w:rFonts w:ascii="Noto Sans CJK SC" w:hAnsi="Noto Sans CJK SC" w:eastAsia="Noto Sans CJK SC" w:cs="Noto Sans CJK SC"/>
                <w:b/>
                <w:color w:val="1F4E79"/>
                <w:sz w:val="20"/>
              </w:rPr>
              <w:t>旧奖励</w:t>
            </w:r>
          </w:p>
        </w:tc>
        <w:tc>
          <w:tcPr>
            <w:tcW w:type="dxa" w:w="3515"/>
            <w:vAlign w:val="center"/>
            <w:tcMar>
              <w:top w:w="120" w:type="dxa"/>
              <w:start w:w="140" w:type="dxa"/>
              <w:bottom w:w="120" w:type="dxa"/>
              <w:end w:w="140" w:type="dxa"/>
            </w:tcMar>
            <w:tcBorders>
              <w:left w:val="single" w:sz="6" w:color="C7D7E7"/>
              <w:top w:val="single" w:sz="6" w:color="C7D7E7"/>
              <w:right w:val="single" w:sz="6" w:color="C7D7E7"/>
              <w:bottom w:val="single" w:sz="6" w:color="C7D7E7"/>
            </w:tcBorders>
            <w:shd w:fill="EAF2F8"/>
          </w:tcPr>
          <w:p>
            <w:pPr>
              <w:spacing w:before="40" w:after="40" w:line="269" w:lineRule="auto"/>
            </w:pPr>
            <w:r>
              <w:rPr>
                <w:rFonts w:ascii="Noto Sans CJK SC" w:hAnsi="Noto Sans CJK SC" w:eastAsia="Noto Sans CJK SC" w:cs="Noto Sans CJK SC"/>
                <w:b/>
                <w:color w:val="1F4E79"/>
                <w:sz w:val="20"/>
              </w:rPr>
              <w:t>新奖励</w:t>
            </w:r>
          </w:p>
        </w:tc>
      </w:tr>
      <w:tr>
        <w:tc>
          <w:tcPr>
            <w:tcW w:type="dxa" w:w="2268"/>
            <w:vAlign w:val="center"/>
            <w:tcMar>
              <w:top w:w="120" w:type="dxa"/>
              <w:start w:w="140" w:type="dxa"/>
              <w:bottom w:w="120" w:type="dxa"/>
              <w:end w:w="140" w:type="dxa"/>
            </w:tcMar>
            <w:tcBorders>
              <w:left w:val="single" w:sz="6" w:color="C7D7E7"/>
              <w:top w:val="single" w:sz="6" w:color="C7D7E7"/>
              <w:right w:val="single" w:sz="6" w:color="C7D7E7"/>
              <w:bottom w:val="single" w:sz="6" w:color="C7D7E7"/>
            </w:tcBorders>
          </w:tcPr>
          <w:p>
            <w:pPr>
              <w:spacing w:before="40" w:after="40" w:line="269" w:lineRule="auto"/>
            </w:pPr>
            <w:r>
              <w:rPr>
                <w:rFonts w:ascii="Noto Sans CJK SC" w:hAnsi="Noto Sans CJK SC" w:eastAsia="Noto Sans CJK SC" w:cs="Noto Sans CJK SC"/>
                <w:sz w:val="20"/>
              </w:rPr>
              <w:t>质量项</w:t>
            </w:r>
          </w:p>
        </w:tc>
        <w:tc>
          <w:tcPr>
            <w:tcW w:type="dxa" w:w="2948"/>
            <w:vAlign w:val="center"/>
            <w:tcMar>
              <w:top w:w="120" w:type="dxa"/>
              <w:start w:w="140" w:type="dxa"/>
              <w:bottom w:w="120" w:type="dxa"/>
              <w:end w:w="140" w:type="dxa"/>
            </w:tcMar>
            <w:tcBorders>
              <w:left w:val="single" w:sz="6" w:color="C7D7E7"/>
              <w:top w:val="single" w:sz="6" w:color="C7D7E7"/>
              <w:right w:val="single" w:sz="6" w:color="C7D7E7"/>
              <w:bottom w:val="single" w:sz="6" w:color="C7D7E7"/>
            </w:tcBorders>
          </w:tcPr>
          <w:p>
            <w:pPr>
              <w:spacing w:before="40" w:after="40" w:line="269" w:lineRule="auto"/>
            </w:pPr>
            <w:r>
              <w:rPr>
                <w:rFonts w:ascii="Noto Sans CJK SC" w:hAnsi="Noto Sans CJK SC" w:eastAsia="Noto Sans CJK SC" w:cs="Noto Sans CJK SC"/>
                <w:sz w:val="20"/>
              </w:rPr>
              <w:t>单一平均 action loss</w:t>
            </w:r>
          </w:p>
        </w:tc>
        <w:tc>
          <w:tcPr>
            <w:tcW w:type="dxa" w:w="3515"/>
            <w:vAlign w:val="center"/>
            <w:tcMar>
              <w:top w:w="120" w:type="dxa"/>
              <w:start w:w="140" w:type="dxa"/>
              <w:bottom w:w="120" w:type="dxa"/>
              <w:end w:w="140" w:type="dxa"/>
            </w:tcMar>
            <w:tcBorders>
              <w:left w:val="single" w:sz="6" w:color="C7D7E7"/>
              <w:top w:val="single" w:sz="6" w:color="C7D7E7"/>
              <w:right w:val="single" w:sz="6" w:color="C7D7E7"/>
              <w:bottom w:val="single" w:sz="6" w:color="C7D7E7"/>
            </w:tcBorders>
          </w:tcPr>
          <w:p>
            <w:pPr>
              <w:spacing w:before="40" w:after="40" w:line="269" w:lineRule="auto"/>
            </w:pPr>
            <w:r>
              <w:rPr>
                <w:rFonts w:ascii="Noto Sans CJK SC" w:hAnsi="Noto Sans CJK SC" w:eastAsia="Noto Sans CJK SC" w:cs="Noto Sans CJK SC"/>
                <w:sz w:val="20"/>
              </w:rPr>
              <w:t>首帧 + 序列 + 趋势的语义误差</w:t>
            </w:r>
          </w:p>
        </w:tc>
      </w:tr>
      <w:tr>
        <w:tc>
          <w:tcPr>
            <w:tcW w:type="dxa" w:w="2268"/>
            <w:vAlign w:val="center"/>
            <w:tcMar>
              <w:top w:w="120" w:type="dxa"/>
              <w:start w:w="140" w:type="dxa"/>
              <w:bottom w:w="120" w:type="dxa"/>
              <w:end w:w="140" w:type="dxa"/>
            </w:tcMar>
            <w:tcBorders>
              <w:left w:val="single" w:sz="6" w:color="C7D7E7"/>
              <w:top w:val="single" w:sz="6" w:color="C7D7E7"/>
              <w:right w:val="single" w:sz="6" w:color="C7D7E7"/>
              <w:bottom w:val="single" w:sz="6" w:color="C7D7E7"/>
            </w:tcBorders>
          </w:tcPr>
          <w:p>
            <w:pPr>
              <w:spacing w:before="40" w:after="40" w:line="269" w:lineRule="auto"/>
            </w:pPr>
            <w:r>
              <w:rPr>
                <w:rFonts w:ascii="Noto Sans CJK SC" w:hAnsi="Noto Sans CJK SC" w:eastAsia="Noto Sans CJK SC" w:cs="Noto Sans CJK SC"/>
                <w:sz w:val="20"/>
              </w:rPr>
              <w:t>样本尺度</w:t>
            </w:r>
          </w:p>
        </w:tc>
        <w:tc>
          <w:tcPr>
            <w:tcW w:type="dxa" w:w="2948"/>
            <w:vAlign w:val="center"/>
            <w:tcMar>
              <w:top w:w="120" w:type="dxa"/>
              <w:start w:w="140" w:type="dxa"/>
              <w:bottom w:w="120" w:type="dxa"/>
              <w:end w:w="140" w:type="dxa"/>
            </w:tcMar>
            <w:tcBorders>
              <w:left w:val="single" w:sz="6" w:color="C7D7E7"/>
              <w:top w:val="single" w:sz="6" w:color="C7D7E7"/>
              <w:right w:val="single" w:sz="6" w:color="C7D7E7"/>
              <w:bottom w:val="single" w:sz="6" w:color="C7D7E7"/>
            </w:tcBorders>
          </w:tcPr>
          <w:p>
            <w:pPr>
              <w:spacing w:before="40" w:after="40" w:line="269" w:lineRule="auto"/>
            </w:pPr>
            <w:r>
              <w:rPr>
                <w:rFonts w:ascii="Noto Sans CJK SC" w:hAnsi="Noto Sans CJK SC" w:eastAsia="Noto Sans CJK SC" w:cs="Noto Sans CJK SC"/>
                <w:sz w:val="20"/>
              </w:rPr>
              <w:t>绝对误差</w:t>
            </w:r>
          </w:p>
        </w:tc>
        <w:tc>
          <w:tcPr>
            <w:tcW w:type="dxa" w:w="3515"/>
            <w:vAlign w:val="center"/>
            <w:tcMar>
              <w:top w:w="120" w:type="dxa"/>
              <w:start w:w="140" w:type="dxa"/>
              <w:bottom w:w="120" w:type="dxa"/>
              <w:end w:w="140" w:type="dxa"/>
            </w:tcMar>
            <w:tcBorders>
              <w:left w:val="single" w:sz="6" w:color="C7D7E7"/>
              <w:top w:val="single" w:sz="6" w:color="C7D7E7"/>
              <w:right w:val="single" w:sz="6" w:color="C7D7E7"/>
              <w:bottom w:val="single" w:sz="6" w:color="C7D7E7"/>
            </w:tcBorders>
          </w:tcPr>
          <w:p>
            <w:pPr>
              <w:spacing w:before="40" w:after="40" w:line="269" w:lineRule="auto"/>
            </w:pPr>
            <w:r>
              <w:rPr>
                <w:rFonts w:ascii="Noto Sans CJK SC" w:hAnsi="Noto Sans CJK SC" w:eastAsia="Noto Sans CJK SC" w:cs="Noto Sans CJK SC"/>
                <w:sz w:val="20"/>
              </w:rPr>
              <w:t>相对 low/high anchor 的恢复比例</w:t>
            </w:r>
          </w:p>
        </w:tc>
      </w:tr>
      <w:tr>
        <w:tc>
          <w:tcPr>
            <w:tcW w:type="dxa" w:w="2268"/>
            <w:vAlign w:val="center"/>
            <w:tcMar>
              <w:top w:w="120" w:type="dxa"/>
              <w:start w:w="140" w:type="dxa"/>
              <w:bottom w:w="120" w:type="dxa"/>
              <w:end w:w="140" w:type="dxa"/>
            </w:tcMar>
            <w:tcBorders>
              <w:left w:val="single" w:sz="6" w:color="C7D7E7"/>
              <w:top w:val="single" w:sz="6" w:color="C7D7E7"/>
              <w:right w:val="single" w:sz="6" w:color="C7D7E7"/>
              <w:bottom w:val="single" w:sz="6" w:color="C7D7E7"/>
            </w:tcBorders>
          </w:tcPr>
          <w:p>
            <w:pPr>
              <w:spacing w:before="40" w:after="40" w:line="269" w:lineRule="auto"/>
            </w:pPr>
            <w:r>
              <w:rPr>
                <w:rFonts w:ascii="Noto Sans CJK SC" w:hAnsi="Noto Sans CJK SC" w:eastAsia="Noto Sans CJK SC" w:cs="Noto Sans CJK SC"/>
                <w:sz w:val="20"/>
              </w:rPr>
              <w:t>困难度建模</w:t>
            </w:r>
          </w:p>
        </w:tc>
        <w:tc>
          <w:tcPr>
            <w:tcW w:type="dxa" w:w="2948"/>
            <w:vAlign w:val="center"/>
            <w:tcMar>
              <w:top w:w="120" w:type="dxa"/>
              <w:start w:w="140" w:type="dxa"/>
              <w:bottom w:w="120" w:type="dxa"/>
              <w:end w:w="140" w:type="dxa"/>
            </w:tcMar>
            <w:tcBorders>
              <w:left w:val="single" w:sz="6" w:color="C7D7E7"/>
              <w:top w:val="single" w:sz="6" w:color="C7D7E7"/>
              <w:right w:val="single" w:sz="6" w:color="C7D7E7"/>
              <w:bottom w:val="single" w:sz="6" w:color="C7D7E7"/>
            </w:tcBorders>
          </w:tcPr>
          <w:p>
            <w:pPr>
              <w:spacing w:before="40" w:after="40" w:line="269" w:lineRule="auto"/>
            </w:pPr>
            <w:r>
              <w:rPr>
                <w:rFonts w:ascii="Noto Sans CJK SC" w:hAnsi="Noto Sans CJK SC" w:eastAsia="Noto Sans CJK SC" w:cs="Noto Sans CJK SC"/>
                <w:sz w:val="20"/>
              </w:rPr>
              <w:t>没有显式建模</w:t>
            </w:r>
          </w:p>
        </w:tc>
        <w:tc>
          <w:tcPr>
            <w:tcW w:type="dxa" w:w="3515"/>
            <w:vAlign w:val="center"/>
            <w:tcMar>
              <w:top w:w="120" w:type="dxa"/>
              <w:start w:w="140" w:type="dxa"/>
              <w:bottom w:w="120" w:type="dxa"/>
              <w:end w:w="140" w:type="dxa"/>
            </w:tcMar>
            <w:tcBorders>
              <w:left w:val="single" w:sz="6" w:color="C7D7E7"/>
              <w:top w:val="single" w:sz="6" w:color="C7D7E7"/>
              <w:right w:val="single" w:sz="6" w:color="C7D7E7"/>
              <w:bottom w:val="single" w:sz="6" w:color="C7D7E7"/>
            </w:tcBorders>
          </w:tcPr>
          <w:p>
            <w:pPr>
              <w:spacing w:before="40" w:after="40" w:line="269" w:lineRule="auto"/>
            </w:pPr>
            <w:r>
              <w:rPr>
                <w:rFonts w:ascii="Noto Sans CJK SC" w:hAnsi="Noto Sans CJK SC" w:eastAsia="Noto Sans CJK SC" w:cs="Noto Sans CJK SC"/>
                <w:sz w:val="20"/>
              </w:rPr>
              <w:t>通过 gap 与 d_j(x) 自动体现</w:t>
            </w:r>
          </w:p>
        </w:tc>
      </w:tr>
      <w:tr>
        <w:tc>
          <w:tcPr>
            <w:tcW w:type="dxa" w:w="2268"/>
            <w:vAlign w:val="center"/>
            <w:tcMar>
              <w:top w:w="120" w:type="dxa"/>
              <w:start w:w="140" w:type="dxa"/>
              <w:bottom w:w="120" w:type="dxa"/>
              <w:end w:w="140" w:type="dxa"/>
            </w:tcMar>
            <w:tcBorders>
              <w:left w:val="single" w:sz="6" w:color="C7D7E7"/>
              <w:top w:val="single" w:sz="6" w:color="C7D7E7"/>
              <w:right w:val="single" w:sz="6" w:color="C7D7E7"/>
              <w:bottom w:val="single" w:sz="6" w:color="C7D7E7"/>
            </w:tcBorders>
          </w:tcPr>
          <w:p>
            <w:pPr>
              <w:spacing w:before="40" w:after="40" w:line="269" w:lineRule="auto"/>
            </w:pPr>
            <w:r>
              <w:rPr>
                <w:rFonts w:ascii="Noto Sans CJK SC" w:hAnsi="Noto Sans CJK SC" w:eastAsia="Noto Sans CJK SC" w:cs="Noto Sans CJK SC"/>
                <w:sz w:val="20"/>
              </w:rPr>
              <w:t>成本项</w:t>
            </w:r>
          </w:p>
        </w:tc>
        <w:tc>
          <w:tcPr>
            <w:tcW w:type="dxa" w:w="2948"/>
            <w:vAlign w:val="center"/>
            <w:tcMar>
              <w:top w:w="120" w:type="dxa"/>
              <w:start w:w="140" w:type="dxa"/>
              <w:bottom w:w="120" w:type="dxa"/>
              <w:end w:w="140" w:type="dxa"/>
            </w:tcMar>
            <w:tcBorders>
              <w:left w:val="single" w:sz="6" w:color="C7D7E7"/>
              <w:top w:val="single" w:sz="6" w:color="C7D7E7"/>
              <w:right w:val="single" w:sz="6" w:color="C7D7E7"/>
              <w:bottom w:val="single" w:sz="6" w:color="C7D7E7"/>
            </w:tcBorders>
          </w:tcPr>
          <w:p>
            <w:pPr>
              <w:spacing w:before="40" w:after="40" w:line="269" w:lineRule="auto"/>
            </w:pPr>
            <w:r>
              <w:rPr>
                <w:rFonts w:ascii="Noto Sans CJK SC" w:hAnsi="Noto Sans CJK SC" w:eastAsia="Noto Sans CJK SC" w:cs="Noto Sans CJK SC"/>
                <w:sz w:val="20"/>
              </w:rPr>
              <w:t>线性步数成本</w:t>
            </w:r>
          </w:p>
        </w:tc>
        <w:tc>
          <w:tcPr>
            <w:tcW w:type="dxa" w:w="3515"/>
            <w:vAlign w:val="center"/>
            <w:tcMar>
              <w:top w:w="120" w:type="dxa"/>
              <w:start w:w="140" w:type="dxa"/>
              <w:bottom w:w="120" w:type="dxa"/>
              <w:end w:w="140" w:type="dxa"/>
            </w:tcMar>
            <w:tcBorders>
              <w:left w:val="single" w:sz="6" w:color="C7D7E7"/>
              <w:top w:val="single" w:sz="6" w:color="C7D7E7"/>
              <w:right w:val="single" w:sz="6" w:color="C7D7E7"/>
              <w:bottom w:val="single" w:sz="6" w:color="C7D7E7"/>
            </w:tcBorders>
          </w:tcPr>
          <w:p>
            <w:pPr>
              <w:spacing w:before="40" w:after="40" w:line="269" w:lineRule="auto"/>
            </w:pPr>
            <w:r>
              <w:rPr>
                <w:rFonts w:ascii="Noto Sans CJK SC" w:hAnsi="Noto Sans CJK SC" w:eastAsia="Noto Sans CJK SC" w:cs="Noto Sans CJK SC"/>
                <w:sz w:val="20"/>
              </w:rPr>
              <w:t>归一化凸成本</w:t>
            </w:r>
          </w:p>
        </w:tc>
      </w:tr>
    </w:tbl>
    <w:p>
      <w:pPr>
        <w:spacing w:after="80"/>
      </w:pPr>
    </w:p>
    <w:p>
      <w:pPr>
        <w:pStyle w:val="Heading1"/>
        <w:keepNext/>
        <w:spacing w:before="200" w:after="80"/>
      </w:pPr>
      <w:r>
        <w:rPr>
          <w:rFonts w:ascii="Noto Sans CJK SC" w:hAnsi="Noto Sans CJK SC" w:eastAsia="Noto Sans CJK SC" w:cs="Noto Sans CJK SC"/>
          <w:b/>
          <w:color w:val="1F4E79"/>
          <w:sz w:val="30"/>
        </w:rPr>
        <w:t>8. 与当前 PPO / 累计 Hazard 训练框架的衔接方式</w:t>
      </w:r>
    </w:p>
    <w:p>
      <w:pPr>
        <w:pStyle w:val="ListBullet"/>
        <w:spacing w:after="50" w:line="298" w:lineRule="auto"/>
      </w:pPr>
      <w:r>
        <w:rPr>
          <w:rFonts w:ascii="Noto Serif CJK SC" w:hAnsi="Noto Serif CJK SC" w:eastAsia="Noto Serif CJK SC" w:cs="Noto Serif CJK SC"/>
          <w:sz w:val="21"/>
        </w:rPr>
        <w:t>保持现有路径级 PPO 训练范式不变：策略仍然 rollout 完整路径 τ，再用单个标量 reward 更新路径概率。</w:t>
      </w:r>
    </w:p>
    <w:p>
      <w:pPr>
        <w:pStyle w:val="ListBullet"/>
        <w:spacing w:after="50" w:line="298" w:lineRule="auto"/>
      </w:pPr>
      <w:r>
        <w:rPr>
          <w:rFonts w:ascii="Noto Serif CJK SC" w:hAnsi="Noto Serif CJK SC" w:eastAsia="Noto Serif CJK SC" w:cs="Noto Serif CJK SC"/>
          <w:sz w:val="21"/>
        </w:rPr>
        <w:t>双锚点路径 τ_lo 与 τ_hi 仅用于 detached reward 评估，不承担 advantage baseline 的主要职责。</w:t>
      </w:r>
    </w:p>
    <w:p>
      <w:pPr>
        <w:pStyle w:val="ListBullet"/>
        <w:spacing w:after="50" w:line="298" w:lineRule="auto"/>
      </w:pPr>
      <w:r>
        <w:rPr>
          <w:rFonts w:ascii="Noto Serif CJK SC" w:hAnsi="Noto Serif CJK SC" w:eastAsia="Noto Serif CJK SC" w:cs="Noto Serif CJK SC"/>
          <w:sz w:val="21"/>
        </w:rPr>
        <w:t>critic / GAE 仍按 PPO 常规方式估计 advantage；新的奖励函数解决的是“怎么给路径打分”，而不是“怎么做策略梯度估计”。</w:t>
      </w:r>
    </w:p>
    <w:p>
      <w:pPr>
        <w:pStyle w:val="ListBullet"/>
        <w:spacing w:after="50" w:line="298" w:lineRule="auto"/>
      </w:pPr>
      <w:r>
        <w:rPr>
          <w:rFonts w:ascii="Noto Serif CJK SC" w:hAnsi="Noto Serif CJK SC" w:eastAsia="Noto Serif CJK SC" w:cs="Noto Serif CJK SC"/>
          <w:sz w:val="21"/>
        </w:rPr>
        <w:t>因此实现层面不需要改累计 Hazard 的概率建模，也不需要改 PPO 主体，只需替换 reward 记账逻辑。</w:t>
      </w:r>
    </w:p>
    <w:p>
      <w:pPr>
        <w:pStyle w:val="Heading1"/>
        <w:keepNext/>
        <w:spacing w:before="200" w:after="80"/>
      </w:pPr>
      <w:r>
        <w:rPr>
          <w:rFonts w:ascii="Noto Sans CJK SC" w:hAnsi="Noto Sans CJK SC" w:eastAsia="Noto Sans CJK SC" w:cs="Noto Sans CJK SC"/>
          <w:b/>
          <w:color w:val="1F4E79"/>
          <w:sz w:val="30"/>
        </w:rPr>
        <w:t>9. 推荐的工程落地顺序</w:t>
      </w:r>
    </w:p>
    <w:tbl>
      <w:tblPr>
        <w:tblStyle w:val="TableGrid"/>
        <w:tblW w:type="auto" w:w="0"/>
        <w:jc w:val="center"/>
        <w:tblLayout w:type="fixed"/>
        <w:tblLook w:firstColumn="1" w:firstRow="1" w:lastColumn="0" w:lastRow="0" w:noHBand="0" w:noVBand="1" w:val="04A0"/>
      </w:tblPr>
      <w:tblGrid>
        <w:gridCol w:w="3249"/>
        <w:gridCol w:w="3249"/>
        <w:gridCol w:w="3249"/>
      </w:tblGrid>
      <w:tr>
        <w:trPr>
          <w:tblHeader w:val="true"/>
        </w:trPr>
        <w:tc>
          <w:tcPr>
            <w:tcW w:type="dxa" w:w="907"/>
            <w:vAlign w:val="center"/>
            <w:tcMar>
              <w:top w:w="120" w:type="dxa"/>
              <w:start w:w="140" w:type="dxa"/>
              <w:bottom w:w="120" w:type="dxa"/>
              <w:end w:w="140" w:type="dxa"/>
            </w:tcMar>
            <w:tcBorders>
              <w:left w:val="single" w:sz="6" w:color="C7D7E7"/>
              <w:top w:val="single" w:sz="6" w:color="C7D7E7"/>
              <w:right w:val="single" w:sz="6" w:color="C7D7E7"/>
              <w:bottom w:val="single" w:sz="6" w:color="C7D7E7"/>
            </w:tcBorders>
            <w:shd w:fill="EAF2F8"/>
          </w:tcPr>
          <w:p>
            <w:pPr>
              <w:spacing w:before="40" w:after="40" w:line="269" w:lineRule="auto"/>
            </w:pPr>
            <w:r>
              <w:rPr>
                <w:rFonts w:ascii="Noto Sans CJK SC" w:hAnsi="Noto Sans CJK SC" w:eastAsia="Noto Sans CJK SC" w:cs="Noto Sans CJK SC"/>
                <w:b/>
                <w:color w:val="1F4E79"/>
                <w:sz w:val="20"/>
              </w:rPr>
              <w:t>阶段</w:t>
            </w:r>
          </w:p>
        </w:tc>
        <w:tc>
          <w:tcPr>
            <w:tcW w:type="dxa" w:w="2721"/>
            <w:vAlign w:val="center"/>
            <w:tcMar>
              <w:top w:w="120" w:type="dxa"/>
              <w:start w:w="140" w:type="dxa"/>
              <w:bottom w:w="120" w:type="dxa"/>
              <w:end w:w="140" w:type="dxa"/>
            </w:tcMar>
            <w:tcBorders>
              <w:left w:val="single" w:sz="6" w:color="C7D7E7"/>
              <w:top w:val="single" w:sz="6" w:color="C7D7E7"/>
              <w:right w:val="single" w:sz="6" w:color="C7D7E7"/>
              <w:bottom w:val="single" w:sz="6" w:color="C7D7E7"/>
            </w:tcBorders>
            <w:shd w:fill="EAF2F8"/>
          </w:tcPr>
          <w:p>
            <w:pPr>
              <w:spacing w:before="40" w:after="40" w:line="269" w:lineRule="auto"/>
            </w:pPr>
            <w:r>
              <w:rPr>
                <w:rFonts w:ascii="Noto Sans CJK SC" w:hAnsi="Noto Sans CJK SC" w:eastAsia="Noto Sans CJK SC" w:cs="Noto Sans CJK SC"/>
                <w:b/>
                <w:color w:val="1F4E79"/>
                <w:sz w:val="20"/>
              </w:rPr>
              <w:t>工作内容</w:t>
            </w:r>
          </w:p>
        </w:tc>
        <w:tc>
          <w:tcPr>
            <w:tcW w:type="dxa" w:w="5046"/>
            <w:vAlign w:val="center"/>
            <w:tcMar>
              <w:top w:w="120" w:type="dxa"/>
              <w:start w:w="140" w:type="dxa"/>
              <w:bottom w:w="120" w:type="dxa"/>
              <w:end w:w="140" w:type="dxa"/>
            </w:tcMar>
            <w:tcBorders>
              <w:left w:val="single" w:sz="6" w:color="C7D7E7"/>
              <w:top w:val="single" w:sz="6" w:color="C7D7E7"/>
              <w:right w:val="single" w:sz="6" w:color="C7D7E7"/>
              <w:bottom w:val="single" w:sz="6" w:color="C7D7E7"/>
            </w:tcBorders>
            <w:shd w:fill="EAF2F8"/>
          </w:tcPr>
          <w:p>
            <w:pPr>
              <w:spacing w:before="40" w:after="40" w:line="269" w:lineRule="auto"/>
            </w:pPr>
            <w:r>
              <w:rPr>
                <w:rFonts w:ascii="Noto Sans CJK SC" w:hAnsi="Noto Sans CJK SC" w:eastAsia="Noto Sans CJK SC" w:cs="Noto Sans CJK SC"/>
                <w:b/>
                <w:color w:val="1F4E79"/>
                <w:sz w:val="20"/>
              </w:rPr>
              <w:t>说明</w:t>
            </w:r>
          </w:p>
        </w:tc>
      </w:tr>
      <w:tr>
        <w:tc>
          <w:tcPr>
            <w:tcW w:type="dxa" w:w="907"/>
            <w:vAlign w:val="center"/>
            <w:tcMar>
              <w:top w:w="120" w:type="dxa"/>
              <w:start w:w="140" w:type="dxa"/>
              <w:bottom w:w="120" w:type="dxa"/>
              <w:end w:w="140" w:type="dxa"/>
            </w:tcMar>
            <w:tcBorders>
              <w:left w:val="single" w:sz="6" w:color="C7D7E7"/>
              <w:top w:val="single" w:sz="6" w:color="C7D7E7"/>
              <w:right w:val="single" w:sz="6" w:color="C7D7E7"/>
              <w:bottom w:val="single" w:sz="6" w:color="C7D7E7"/>
            </w:tcBorders>
          </w:tcPr>
          <w:p>
            <w:pPr>
              <w:spacing w:before="40" w:after="40" w:line="269" w:lineRule="auto"/>
            </w:pPr>
            <w:r>
              <w:rPr>
                <w:rFonts w:ascii="Noto Sans CJK SC" w:hAnsi="Noto Sans CJK SC" w:eastAsia="Noto Sans CJK SC" w:cs="Noto Sans CJK SC"/>
                <w:sz w:val="20"/>
              </w:rPr>
              <w:t>1</w:t>
            </w:r>
          </w:p>
        </w:tc>
        <w:tc>
          <w:tcPr>
            <w:tcW w:type="dxa" w:w="2721"/>
            <w:vAlign w:val="center"/>
            <w:tcMar>
              <w:top w:w="120" w:type="dxa"/>
              <w:start w:w="140" w:type="dxa"/>
              <w:bottom w:w="120" w:type="dxa"/>
              <w:end w:w="140" w:type="dxa"/>
            </w:tcMar>
            <w:tcBorders>
              <w:left w:val="single" w:sz="6" w:color="C7D7E7"/>
              <w:top w:val="single" w:sz="6" w:color="C7D7E7"/>
              <w:right w:val="single" w:sz="6" w:color="C7D7E7"/>
              <w:bottom w:val="single" w:sz="6" w:color="C7D7E7"/>
            </w:tcBorders>
          </w:tcPr>
          <w:p>
            <w:pPr>
              <w:spacing w:before="40" w:after="40" w:line="269" w:lineRule="auto"/>
            </w:pPr>
            <w:r>
              <w:rPr>
                <w:rFonts w:ascii="Noto Sans CJK SC" w:hAnsi="Noto Sans CJK SC" w:eastAsia="Noto Sans CJK SC" w:cs="Noto Sans CJK SC"/>
                <w:sz w:val="20"/>
              </w:rPr>
              <w:t>保留当前 τ_hi</w:t>
            </w:r>
          </w:p>
        </w:tc>
        <w:tc>
          <w:tcPr>
            <w:tcW w:type="dxa" w:w="5046"/>
            <w:vAlign w:val="center"/>
            <w:tcMar>
              <w:top w:w="120" w:type="dxa"/>
              <w:start w:w="140" w:type="dxa"/>
              <w:bottom w:w="120" w:type="dxa"/>
              <w:end w:w="140" w:type="dxa"/>
            </w:tcMar>
            <w:tcBorders>
              <w:left w:val="single" w:sz="6" w:color="C7D7E7"/>
              <w:top w:val="single" w:sz="6" w:color="C7D7E7"/>
              <w:right w:val="single" w:sz="6" w:color="C7D7E7"/>
              <w:bottom w:val="single" w:sz="6" w:color="C7D7E7"/>
            </w:tcBorders>
          </w:tcPr>
          <w:p>
            <w:pPr>
              <w:spacing w:before="40" w:after="40" w:line="269" w:lineRule="auto"/>
            </w:pPr>
            <w:r>
              <w:rPr>
                <w:rFonts w:ascii="Noto Sans CJK SC" w:hAnsi="Noto Sans CJK SC" w:eastAsia="Noto Sans CJK SC" w:cs="Noto Sans CJK SC"/>
                <w:sz w:val="20"/>
              </w:rPr>
              <w:t>把现有固定 25 步 rollout 从 baseline_reward 改造为 high-quality anchor。</w:t>
            </w:r>
          </w:p>
        </w:tc>
      </w:tr>
      <w:tr>
        <w:tc>
          <w:tcPr>
            <w:tcW w:type="dxa" w:w="907"/>
            <w:vAlign w:val="center"/>
            <w:tcMar>
              <w:top w:w="120" w:type="dxa"/>
              <w:start w:w="140" w:type="dxa"/>
              <w:bottom w:w="120" w:type="dxa"/>
              <w:end w:w="140" w:type="dxa"/>
            </w:tcMar>
            <w:tcBorders>
              <w:left w:val="single" w:sz="6" w:color="C7D7E7"/>
              <w:top w:val="single" w:sz="6" w:color="C7D7E7"/>
              <w:right w:val="single" w:sz="6" w:color="C7D7E7"/>
              <w:bottom w:val="single" w:sz="6" w:color="C7D7E7"/>
            </w:tcBorders>
          </w:tcPr>
          <w:p>
            <w:pPr>
              <w:spacing w:before="40" w:after="40" w:line="269" w:lineRule="auto"/>
            </w:pPr>
            <w:r>
              <w:rPr>
                <w:rFonts w:ascii="Noto Sans CJK SC" w:hAnsi="Noto Sans CJK SC" w:eastAsia="Noto Sans CJK SC" w:cs="Noto Sans CJK SC"/>
                <w:sz w:val="20"/>
              </w:rPr>
              <w:t>2</w:t>
            </w:r>
          </w:p>
        </w:tc>
        <w:tc>
          <w:tcPr>
            <w:tcW w:type="dxa" w:w="2721"/>
            <w:vAlign w:val="center"/>
            <w:tcMar>
              <w:top w:w="120" w:type="dxa"/>
              <w:start w:w="140" w:type="dxa"/>
              <w:bottom w:w="120" w:type="dxa"/>
              <w:end w:w="140" w:type="dxa"/>
            </w:tcMar>
            <w:tcBorders>
              <w:left w:val="single" w:sz="6" w:color="C7D7E7"/>
              <w:top w:val="single" w:sz="6" w:color="C7D7E7"/>
              <w:right w:val="single" w:sz="6" w:color="C7D7E7"/>
              <w:bottom w:val="single" w:sz="6" w:color="C7D7E7"/>
            </w:tcBorders>
          </w:tcPr>
          <w:p>
            <w:pPr>
              <w:spacing w:before="40" w:after="40" w:line="269" w:lineRule="auto"/>
            </w:pPr>
            <w:r>
              <w:rPr>
                <w:rFonts w:ascii="Noto Sans CJK SC" w:hAnsi="Noto Sans CJK SC" w:eastAsia="Noto Sans CJK SC" w:cs="Noto Sans CJK SC"/>
                <w:sz w:val="20"/>
              </w:rPr>
              <w:t>新增 τ_lo</w:t>
            </w:r>
          </w:p>
        </w:tc>
        <w:tc>
          <w:tcPr>
            <w:tcW w:type="dxa" w:w="5046"/>
            <w:vAlign w:val="center"/>
            <w:tcMar>
              <w:top w:w="120" w:type="dxa"/>
              <w:start w:w="140" w:type="dxa"/>
              <w:bottom w:w="120" w:type="dxa"/>
              <w:end w:w="140" w:type="dxa"/>
            </w:tcMar>
            <w:tcBorders>
              <w:left w:val="single" w:sz="6" w:color="C7D7E7"/>
              <w:top w:val="single" w:sz="6" w:color="C7D7E7"/>
              <w:right w:val="single" w:sz="6" w:color="C7D7E7"/>
              <w:bottom w:val="single" w:sz="6" w:color="C7D7E7"/>
            </w:tcBorders>
          </w:tcPr>
          <w:p>
            <w:pPr>
              <w:spacing w:before="40" w:after="40" w:line="269" w:lineRule="auto"/>
            </w:pPr>
            <w:r>
              <w:rPr>
                <w:rFonts w:ascii="Noto Sans CJK SC" w:hAnsi="Noto Sans CJK SC" w:eastAsia="Noto Sans CJK SC" w:cs="Noto Sans CJK SC"/>
                <w:sz w:val="20"/>
              </w:rPr>
              <w:t>新增固定 3 或 4 步 cheap anchor，为每个样本提供低预算参照点。</w:t>
            </w:r>
          </w:p>
        </w:tc>
      </w:tr>
      <w:tr>
        <w:tc>
          <w:tcPr>
            <w:tcW w:type="dxa" w:w="907"/>
            <w:vAlign w:val="center"/>
            <w:tcMar>
              <w:top w:w="120" w:type="dxa"/>
              <w:start w:w="140" w:type="dxa"/>
              <w:bottom w:w="120" w:type="dxa"/>
              <w:end w:w="140" w:type="dxa"/>
            </w:tcMar>
            <w:tcBorders>
              <w:left w:val="single" w:sz="6" w:color="C7D7E7"/>
              <w:top w:val="single" w:sz="6" w:color="C7D7E7"/>
              <w:right w:val="single" w:sz="6" w:color="C7D7E7"/>
              <w:bottom w:val="single" w:sz="6" w:color="C7D7E7"/>
            </w:tcBorders>
          </w:tcPr>
          <w:p>
            <w:pPr>
              <w:spacing w:before="40" w:after="40" w:line="269" w:lineRule="auto"/>
            </w:pPr>
            <w:r>
              <w:rPr>
                <w:rFonts w:ascii="Noto Sans CJK SC" w:hAnsi="Noto Sans CJK SC" w:eastAsia="Noto Sans CJK SC" w:cs="Noto Sans CJK SC"/>
                <w:sz w:val="20"/>
              </w:rPr>
              <w:t>3</w:t>
            </w:r>
          </w:p>
        </w:tc>
        <w:tc>
          <w:tcPr>
            <w:tcW w:type="dxa" w:w="2721"/>
            <w:vAlign w:val="center"/>
            <w:tcMar>
              <w:top w:w="120" w:type="dxa"/>
              <w:start w:w="140" w:type="dxa"/>
              <w:bottom w:w="120" w:type="dxa"/>
              <w:end w:w="140" w:type="dxa"/>
            </w:tcMar>
            <w:tcBorders>
              <w:left w:val="single" w:sz="6" w:color="C7D7E7"/>
              <w:top w:val="single" w:sz="6" w:color="C7D7E7"/>
              <w:right w:val="single" w:sz="6" w:color="C7D7E7"/>
              <w:bottom w:val="single" w:sz="6" w:color="C7D7E7"/>
            </w:tcBorders>
          </w:tcPr>
          <w:p>
            <w:pPr>
              <w:spacing w:before="40" w:after="40" w:line="269" w:lineRule="auto"/>
            </w:pPr>
            <w:r>
              <w:rPr>
                <w:rFonts w:ascii="Noto Sans CJK SC" w:hAnsi="Noto Sans CJK SC" w:eastAsia="Noto Sans CJK SC" w:cs="Noto Sans CJK SC"/>
                <w:sz w:val="20"/>
              </w:rPr>
              <w:t>替换质量项</w:t>
            </w:r>
          </w:p>
        </w:tc>
        <w:tc>
          <w:tcPr>
            <w:tcW w:type="dxa" w:w="5046"/>
            <w:vAlign w:val="center"/>
            <w:tcMar>
              <w:top w:w="120" w:type="dxa"/>
              <w:start w:w="140" w:type="dxa"/>
              <w:bottom w:w="120" w:type="dxa"/>
              <w:end w:w="140" w:type="dxa"/>
            </w:tcMar>
            <w:tcBorders>
              <w:left w:val="single" w:sz="6" w:color="C7D7E7"/>
              <w:top w:val="single" w:sz="6" w:color="C7D7E7"/>
              <w:right w:val="single" w:sz="6" w:color="C7D7E7"/>
              <w:bottom w:val="single" w:sz="6" w:color="C7D7E7"/>
            </w:tcBorders>
          </w:tcPr>
          <w:p>
            <w:pPr>
              <w:spacing w:before="40" w:after="40" w:line="269" w:lineRule="auto"/>
            </w:pPr>
            <w:r>
              <w:rPr>
                <w:rFonts w:ascii="Noto Sans CJK SC" w:hAnsi="Noto Sans CJK SC" w:eastAsia="Noto Sans CJK SC" w:cs="Noto Sans CJK SC"/>
                <w:sz w:val="20"/>
              </w:rPr>
              <w:t>实现单帧语义误差、首帧项、序列项、趋势项和 ω_t。</w:t>
            </w:r>
          </w:p>
        </w:tc>
      </w:tr>
      <w:tr>
        <w:tc>
          <w:tcPr>
            <w:tcW w:type="dxa" w:w="907"/>
            <w:vAlign w:val="center"/>
            <w:tcMar>
              <w:top w:w="120" w:type="dxa"/>
              <w:start w:w="140" w:type="dxa"/>
              <w:bottom w:w="120" w:type="dxa"/>
              <w:end w:w="140" w:type="dxa"/>
            </w:tcMar>
            <w:tcBorders>
              <w:left w:val="single" w:sz="6" w:color="C7D7E7"/>
              <w:top w:val="single" w:sz="6" w:color="C7D7E7"/>
              <w:right w:val="single" w:sz="6" w:color="C7D7E7"/>
              <w:bottom w:val="single" w:sz="6" w:color="C7D7E7"/>
            </w:tcBorders>
          </w:tcPr>
          <w:p>
            <w:pPr>
              <w:spacing w:before="40" w:after="40" w:line="269" w:lineRule="auto"/>
            </w:pPr>
            <w:r>
              <w:rPr>
                <w:rFonts w:ascii="Noto Sans CJK SC" w:hAnsi="Noto Sans CJK SC" w:eastAsia="Noto Sans CJK SC" w:cs="Noto Sans CJK SC"/>
                <w:sz w:val="20"/>
              </w:rPr>
              <w:t>4</w:t>
            </w:r>
          </w:p>
        </w:tc>
        <w:tc>
          <w:tcPr>
            <w:tcW w:type="dxa" w:w="2721"/>
            <w:vAlign w:val="center"/>
            <w:tcMar>
              <w:top w:w="120" w:type="dxa"/>
              <w:start w:w="140" w:type="dxa"/>
              <w:bottom w:w="120" w:type="dxa"/>
              <w:end w:w="140" w:type="dxa"/>
            </w:tcMar>
            <w:tcBorders>
              <w:left w:val="single" w:sz="6" w:color="C7D7E7"/>
              <w:top w:val="single" w:sz="6" w:color="C7D7E7"/>
              <w:right w:val="single" w:sz="6" w:color="C7D7E7"/>
              <w:bottom w:val="single" w:sz="6" w:color="C7D7E7"/>
            </w:tcBorders>
          </w:tcPr>
          <w:p>
            <w:pPr>
              <w:spacing w:before="40" w:after="40" w:line="269" w:lineRule="auto"/>
            </w:pPr>
            <w:r>
              <w:rPr>
                <w:rFonts w:ascii="Noto Sans CJK SC" w:hAnsi="Noto Sans CJK SC" w:eastAsia="Noto Sans CJK SC" w:cs="Noto Sans CJK SC"/>
                <w:sz w:val="20"/>
              </w:rPr>
              <w:t>替换成本项</w:t>
            </w:r>
          </w:p>
        </w:tc>
        <w:tc>
          <w:tcPr>
            <w:tcW w:type="dxa" w:w="5046"/>
            <w:vAlign w:val="center"/>
            <w:tcMar>
              <w:top w:w="120" w:type="dxa"/>
              <w:start w:w="140" w:type="dxa"/>
              <w:bottom w:w="120" w:type="dxa"/>
              <w:end w:w="140" w:type="dxa"/>
            </w:tcMar>
            <w:tcBorders>
              <w:left w:val="single" w:sz="6" w:color="C7D7E7"/>
              <w:top w:val="single" w:sz="6" w:color="C7D7E7"/>
              <w:right w:val="single" w:sz="6" w:color="C7D7E7"/>
              <w:bottom w:val="single" w:sz="6" w:color="C7D7E7"/>
            </w:tcBorders>
          </w:tcPr>
          <w:p>
            <w:pPr>
              <w:spacing w:before="40" w:after="40" w:line="269" w:lineRule="auto"/>
            </w:pPr>
            <w:r>
              <w:rPr>
                <w:rFonts w:ascii="Noto Sans CJK SC" w:hAnsi="Noto Sans CJK SC" w:eastAsia="Noto Sans CJK SC" w:cs="Noto Sans CJK SC"/>
                <w:sz w:val="20"/>
              </w:rPr>
              <w:t>把线性 video_steps 改成归一化凸成本函数。</w:t>
            </w:r>
          </w:p>
        </w:tc>
      </w:tr>
      <w:tr>
        <w:tc>
          <w:tcPr>
            <w:tcW w:type="dxa" w:w="907"/>
            <w:vAlign w:val="center"/>
            <w:tcMar>
              <w:top w:w="120" w:type="dxa"/>
              <w:start w:w="140" w:type="dxa"/>
              <w:bottom w:w="120" w:type="dxa"/>
              <w:end w:w="140" w:type="dxa"/>
            </w:tcMar>
            <w:tcBorders>
              <w:left w:val="single" w:sz="6" w:color="C7D7E7"/>
              <w:top w:val="single" w:sz="6" w:color="C7D7E7"/>
              <w:right w:val="single" w:sz="6" w:color="C7D7E7"/>
              <w:bottom w:val="single" w:sz="6" w:color="C7D7E7"/>
            </w:tcBorders>
          </w:tcPr>
          <w:p>
            <w:pPr>
              <w:spacing w:before="40" w:after="40" w:line="269" w:lineRule="auto"/>
            </w:pPr>
            <w:r>
              <w:rPr>
                <w:rFonts w:ascii="Noto Sans CJK SC" w:hAnsi="Noto Sans CJK SC" w:eastAsia="Noto Sans CJK SC" w:cs="Noto Sans CJK SC"/>
                <w:sz w:val="20"/>
              </w:rPr>
              <w:t>5</w:t>
            </w:r>
          </w:p>
        </w:tc>
        <w:tc>
          <w:tcPr>
            <w:tcW w:type="dxa" w:w="2721"/>
            <w:vAlign w:val="center"/>
            <w:tcMar>
              <w:top w:w="120" w:type="dxa"/>
              <w:start w:w="140" w:type="dxa"/>
              <w:bottom w:w="120" w:type="dxa"/>
              <w:end w:w="140" w:type="dxa"/>
            </w:tcMar>
            <w:tcBorders>
              <w:left w:val="single" w:sz="6" w:color="C7D7E7"/>
              <w:top w:val="single" w:sz="6" w:color="C7D7E7"/>
              <w:right w:val="single" w:sz="6" w:color="C7D7E7"/>
              <w:bottom w:val="single" w:sz="6" w:color="C7D7E7"/>
            </w:tcBorders>
          </w:tcPr>
          <w:p>
            <w:pPr>
              <w:spacing w:before="40" w:after="40" w:line="269" w:lineRule="auto"/>
            </w:pPr>
            <w:r>
              <w:rPr>
                <w:rFonts w:ascii="Noto Sans CJK SC" w:hAnsi="Noto Sans CJK SC" w:eastAsia="Noto Sans CJK SC" w:cs="Noto Sans CJK SC"/>
                <w:sz w:val="20"/>
              </w:rPr>
              <w:t>接入 PPO</w:t>
            </w:r>
          </w:p>
        </w:tc>
        <w:tc>
          <w:tcPr>
            <w:tcW w:type="dxa" w:w="5046"/>
            <w:vAlign w:val="center"/>
            <w:tcMar>
              <w:top w:w="120" w:type="dxa"/>
              <w:start w:w="140" w:type="dxa"/>
              <w:bottom w:w="120" w:type="dxa"/>
              <w:end w:w="140" w:type="dxa"/>
            </w:tcMar>
            <w:tcBorders>
              <w:left w:val="single" w:sz="6" w:color="C7D7E7"/>
              <w:top w:val="single" w:sz="6" w:color="C7D7E7"/>
              <w:right w:val="single" w:sz="6" w:color="C7D7E7"/>
              <w:bottom w:val="single" w:sz="6" w:color="C7D7E7"/>
            </w:tcBorders>
          </w:tcPr>
          <w:p>
            <w:pPr>
              <w:spacing w:before="40" w:after="40" w:line="269" w:lineRule="auto"/>
            </w:pPr>
            <w:r>
              <w:rPr>
                <w:rFonts w:ascii="Noto Sans CJK SC" w:hAnsi="Noto Sans CJK SC" w:eastAsia="Noto Sans CJK SC" w:cs="Noto Sans CJK SC"/>
                <w:sz w:val="20"/>
              </w:rPr>
              <w:t>用新的 reward 标量替代原 reward，其余策略优化链路保持不变。</w:t>
            </w:r>
          </w:p>
        </w:tc>
      </w:tr>
    </w:tbl>
    <w:p>
      <w:pPr>
        <w:spacing w:after="80"/>
      </w:pPr>
    </w:p>
    <w:p>
      <w:pPr>
        <w:pStyle w:val="Heading1"/>
        <w:keepNext/>
        <w:spacing w:before="200" w:after="80"/>
      </w:pPr>
      <w:r>
        <w:rPr>
          <w:rFonts w:ascii="Noto Sans CJK SC" w:hAnsi="Noto Sans CJK SC" w:eastAsia="Noto Sans CJK SC" w:cs="Noto Sans CJK SC"/>
          <w:b/>
          <w:color w:val="1F4E79"/>
          <w:sz w:val="30"/>
        </w:rPr>
        <w:t>10. 建议的初始超参数</w:t>
      </w:r>
    </w:p>
    <w:tbl>
      <w:tblPr>
        <w:tblStyle w:val="TableGrid"/>
        <w:tblW w:type="auto" w:w="0"/>
        <w:jc w:val="center"/>
        <w:tblLayout w:type="fixed"/>
        <w:tblLook w:firstColumn="1" w:firstRow="1" w:lastColumn="0" w:lastRow="0" w:noHBand="0" w:noVBand="1" w:val="04A0"/>
      </w:tblPr>
      <w:tblGrid>
        <w:gridCol w:w="3249"/>
        <w:gridCol w:w="3249"/>
        <w:gridCol w:w="3249"/>
      </w:tblGrid>
      <w:tr>
        <w:trPr>
          <w:tblHeader w:val="true"/>
        </w:trPr>
        <w:tc>
          <w:tcPr>
            <w:tcW w:type="dxa" w:w="2268"/>
            <w:vAlign w:val="center"/>
            <w:tcMar>
              <w:top w:w="120" w:type="dxa"/>
              <w:start w:w="140" w:type="dxa"/>
              <w:bottom w:w="120" w:type="dxa"/>
              <w:end w:w="140" w:type="dxa"/>
            </w:tcMar>
            <w:tcBorders>
              <w:left w:val="single" w:sz="6" w:color="C7D7E7"/>
              <w:top w:val="single" w:sz="6" w:color="C7D7E7"/>
              <w:right w:val="single" w:sz="6" w:color="C7D7E7"/>
              <w:bottom w:val="single" w:sz="6" w:color="C7D7E7"/>
            </w:tcBorders>
            <w:shd w:fill="EAF2F8"/>
          </w:tcPr>
          <w:p>
            <w:pPr>
              <w:spacing w:before="40" w:after="40" w:line="269" w:lineRule="auto"/>
            </w:pPr>
            <w:r>
              <w:rPr>
                <w:rFonts w:ascii="Noto Sans CJK SC" w:hAnsi="Noto Sans CJK SC" w:eastAsia="Noto Sans CJK SC" w:cs="Noto Sans CJK SC"/>
                <w:b/>
                <w:color w:val="1F4E79"/>
                <w:sz w:val="20"/>
              </w:rPr>
              <w:t>参数</w:t>
            </w:r>
          </w:p>
        </w:tc>
        <w:tc>
          <w:tcPr>
            <w:tcW w:type="dxa" w:w="2324"/>
            <w:vAlign w:val="center"/>
            <w:tcMar>
              <w:top w:w="120" w:type="dxa"/>
              <w:start w:w="140" w:type="dxa"/>
              <w:bottom w:w="120" w:type="dxa"/>
              <w:end w:w="140" w:type="dxa"/>
            </w:tcMar>
            <w:tcBorders>
              <w:left w:val="single" w:sz="6" w:color="C7D7E7"/>
              <w:top w:val="single" w:sz="6" w:color="C7D7E7"/>
              <w:right w:val="single" w:sz="6" w:color="C7D7E7"/>
              <w:bottom w:val="single" w:sz="6" w:color="C7D7E7"/>
            </w:tcBorders>
            <w:shd w:fill="EAF2F8"/>
          </w:tcPr>
          <w:p>
            <w:pPr>
              <w:spacing w:before="40" w:after="40" w:line="269" w:lineRule="auto"/>
            </w:pPr>
            <w:r>
              <w:rPr>
                <w:rFonts w:ascii="Noto Sans CJK SC" w:hAnsi="Noto Sans CJK SC" w:eastAsia="Noto Sans CJK SC" w:cs="Noto Sans CJK SC"/>
                <w:b/>
                <w:color w:val="1F4E79"/>
                <w:sz w:val="20"/>
              </w:rPr>
              <w:t>推荐起点</w:t>
            </w:r>
          </w:p>
        </w:tc>
        <w:tc>
          <w:tcPr>
            <w:tcW w:type="dxa" w:w="4082"/>
            <w:vAlign w:val="center"/>
            <w:tcMar>
              <w:top w:w="120" w:type="dxa"/>
              <w:start w:w="140" w:type="dxa"/>
              <w:bottom w:w="120" w:type="dxa"/>
              <w:end w:w="140" w:type="dxa"/>
            </w:tcMar>
            <w:tcBorders>
              <w:left w:val="single" w:sz="6" w:color="C7D7E7"/>
              <w:top w:val="single" w:sz="6" w:color="C7D7E7"/>
              <w:right w:val="single" w:sz="6" w:color="C7D7E7"/>
              <w:bottom w:val="single" w:sz="6" w:color="C7D7E7"/>
            </w:tcBorders>
            <w:shd w:fill="EAF2F8"/>
          </w:tcPr>
          <w:p>
            <w:pPr>
              <w:spacing w:before="40" w:after="40" w:line="269" w:lineRule="auto"/>
            </w:pPr>
            <w:r>
              <w:rPr>
                <w:rFonts w:ascii="Noto Sans CJK SC" w:hAnsi="Noto Sans CJK SC" w:eastAsia="Noto Sans CJK SC" w:cs="Noto Sans CJK SC"/>
                <w:b/>
                <w:color w:val="1F4E79"/>
                <w:sz w:val="20"/>
              </w:rPr>
              <w:t>备注</w:t>
            </w:r>
          </w:p>
        </w:tc>
      </w:tr>
      <w:tr>
        <w:tc>
          <w:tcPr>
            <w:tcW w:type="dxa" w:w="2268"/>
            <w:vAlign w:val="center"/>
            <w:tcMar>
              <w:top w:w="120" w:type="dxa"/>
              <w:start w:w="140" w:type="dxa"/>
              <w:bottom w:w="120" w:type="dxa"/>
              <w:end w:w="140" w:type="dxa"/>
            </w:tcMar>
            <w:tcBorders>
              <w:left w:val="single" w:sz="6" w:color="C7D7E7"/>
              <w:top w:val="single" w:sz="6" w:color="C7D7E7"/>
              <w:right w:val="single" w:sz="6" w:color="C7D7E7"/>
              <w:bottom w:val="single" w:sz="6" w:color="C7D7E7"/>
            </w:tcBorders>
          </w:tcPr>
          <w:p>
            <w:pPr>
              <w:spacing w:before="40" w:after="40" w:line="269" w:lineRule="auto"/>
            </w:pPr>
            <w:r>
              <w:rPr>
                <w:rFonts w:ascii="Noto Sans CJK SC" w:hAnsi="Noto Sans CJK SC" w:eastAsia="Noto Sans CJK SC" w:cs="Noto Sans CJK SC"/>
                <w:sz w:val="20"/>
              </w:rPr>
              <w:t>w_first</w:t>
            </w:r>
          </w:p>
        </w:tc>
        <w:tc>
          <w:tcPr>
            <w:tcW w:type="dxa" w:w="2324"/>
            <w:vAlign w:val="center"/>
            <w:tcMar>
              <w:top w:w="120" w:type="dxa"/>
              <w:start w:w="140" w:type="dxa"/>
              <w:bottom w:w="120" w:type="dxa"/>
              <w:end w:w="140" w:type="dxa"/>
            </w:tcMar>
            <w:tcBorders>
              <w:left w:val="single" w:sz="6" w:color="C7D7E7"/>
              <w:top w:val="single" w:sz="6" w:color="C7D7E7"/>
              <w:right w:val="single" w:sz="6" w:color="C7D7E7"/>
              <w:bottom w:val="single" w:sz="6" w:color="C7D7E7"/>
            </w:tcBorders>
          </w:tcPr>
          <w:p>
            <w:pPr>
              <w:spacing w:before="40" w:after="40" w:line="269" w:lineRule="auto"/>
            </w:pPr>
            <w:r>
              <w:rPr>
                <w:rFonts w:ascii="Noto Sans CJK SC" w:hAnsi="Noto Sans CJK SC" w:eastAsia="Noto Sans CJK SC" w:cs="Noto Sans CJK SC"/>
                <w:sz w:val="20"/>
              </w:rPr>
              <w:t>0.45</w:t>
            </w:r>
          </w:p>
        </w:tc>
        <w:tc>
          <w:tcPr>
            <w:tcW w:type="dxa" w:w="4082"/>
            <w:vAlign w:val="center"/>
            <w:tcMar>
              <w:top w:w="120" w:type="dxa"/>
              <w:start w:w="140" w:type="dxa"/>
              <w:bottom w:w="120" w:type="dxa"/>
              <w:end w:w="140" w:type="dxa"/>
            </w:tcMar>
            <w:tcBorders>
              <w:left w:val="single" w:sz="6" w:color="C7D7E7"/>
              <w:top w:val="single" w:sz="6" w:color="C7D7E7"/>
              <w:right w:val="single" w:sz="6" w:color="C7D7E7"/>
              <w:bottom w:val="single" w:sz="6" w:color="C7D7E7"/>
            </w:tcBorders>
          </w:tcPr>
          <w:p>
            <w:pPr>
              <w:spacing w:before="40" w:after="40" w:line="269" w:lineRule="auto"/>
            </w:pPr>
            <w:r>
              <w:rPr>
                <w:rFonts w:ascii="Noto Sans CJK SC" w:hAnsi="Noto Sans CJK SC" w:eastAsia="Noto Sans CJK SC" w:cs="Noto Sans CJK SC"/>
                <w:sz w:val="20"/>
              </w:rPr>
              <w:t>首帧优先，保证第一下动作的可靠性。</w:t>
            </w:r>
          </w:p>
        </w:tc>
      </w:tr>
      <w:tr>
        <w:tc>
          <w:tcPr>
            <w:tcW w:type="dxa" w:w="2268"/>
            <w:vAlign w:val="center"/>
            <w:tcMar>
              <w:top w:w="120" w:type="dxa"/>
              <w:start w:w="140" w:type="dxa"/>
              <w:bottom w:w="120" w:type="dxa"/>
              <w:end w:w="140" w:type="dxa"/>
            </w:tcMar>
            <w:tcBorders>
              <w:left w:val="single" w:sz="6" w:color="C7D7E7"/>
              <w:top w:val="single" w:sz="6" w:color="C7D7E7"/>
              <w:right w:val="single" w:sz="6" w:color="C7D7E7"/>
              <w:bottom w:val="single" w:sz="6" w:color="C7D7E7"/>
            </w:tcBorders>
          </w:tcPr>
          <w:p>
            <w:pPr>
              <w:spacing w:before="40" w:after="40" w:line="269" w:lineRule="auto"/>
            </w:pPr>
            <w:r>
              <w:rPr>
                <w:rFonts w:ascii="Noto Sans CJK SC" w:hAnsi="Noto Sans CJK SC" w:eastAsia="Noto Sans CJK SC" w:cs="Noto Sans CJK SC"/>
                <w:sz w:val="20"/>
              </w:rPr>
              <w:t>w_seq</w:t>
            </w:r>
          </w:p>
        </w:tc>
        <w:tc>
          <w:tcPr>
            <w:tcW w:type="dxa" w:w="2324"/>
            <w:vAlign w:val="center"/>
            <w:tcMar>
              <w:top w:w="120" w:type="dxa"/>
              <w:start w:w="140" w:type="dxa"/>
              <w:bottom w:w="120" w:type="dxa"/>
              <w:end w:w="140" w:type="dxa"/>
            </w:tcMar>
            <w:tcBorders>
              <w:left w:val="single" w:sz="6" w:color="C7D7E7"/>
              <w:top w:val="single" w:sz="6" w:color="C7D7E7"/>
              <w:right w:val="single" w:sz="6" w:color="C7D7E7"/>
              <w:bottom w:val="single" w:sz="6" w:color="C7D7E7"/>
            </w:tcBorders>
          </w:tcPr>
          <w:p>
            <w:pPr>
              <w:spacing w:before="40" w:after="40" w:line="269" w:lineRule="auto"/>
            </w:pPr>
            <w:r>
              <w:rPr>
                <w:rFonts w:ascii="Noto Sans CJK SC" w:hAnsi="Noto Sans CJK SC" w:eastAsia="Noto Sans CJK SC" w:cs="Noto Sans CJK SC"/>
                <w:sz w:val="20"/>
              </w:rPr>
              <w:t>0.35</w:t>
            </w:r>
          </w:p>
        </w:tc>
        <w:tc>
          <w:tcPr>
            <w:tcW w:type="dxa" w:w="4082"/>
            <w:vAlign w:val="center"/>
            <w:tcMar>
              <w:top w:w="120" w:type="dxa"/>
              <w:start w:w="140" w:type="dxa"/>
              <w:bottom w:w="120" w:type="dxa"/>
              <w:end w:w="140" w:type="dxa"/>
            </w:tcMar>
            <w:tcBorders>
              <w:left w:val="single" w:sz="6" w:color="C7D7E7"/>
              <w:top w:val="single" w:sz="6" w:color="C7D7E7"/>
              <w:right w:val="single" w:sz="6" w:color="C7D7E7"/>
              <w:bottom w:val="single" w:sz="6" w:color="C7D7E7"/>
            </w:tcBorders>
          </w:tcPr>
          <w:p>
            <w:pPr>
              <w:spacing w:before="40" w:after="40" w:line="269" w:lineRule="auto"/>
            </w:pPr>
            <w:r>
              <w:rPr>
                <w:rFonts w:ascii="Noto Sans CJK SC" w:hAnsi="Noto Sans CJK SC" w:eastAsia="Noto Sans CJK SC" w:cs="Noto Sans CJK SC"/>
                <w:sz w:val="20"/>
              </w:rPr>
              <w:t>保持整段动作质量。</w:t>
            </w:r>
          </w:p>
        </w:tc>
      </w:tr>
      <w:tr>
        <w:tc>
          <w:tcPr>
            <w:tcW w:type="dxa" w:w="2268"/>
            <w:vAlign w:val="center"/>
            <w:tcMar>
              <w:top w:w="120" w:type="dxa"/>
              <w:start w:w="140" w:type="dxa"/>
              <w:bottom w:w="120" w:type="dxa"/>
              <w:end w:w="140" w:type="dxa"/>
            </w:tcMar>
            <w:tcBorders>
              <w:left w:val="single" w:sz="6" w:color="C7D7E7"/>
              <w:top w:val="single" w:sz="6" w:color="C7D7E7"/>
              <w:right w:val="single" w:sz="6" w:color="C7D7E7"/>
              <w:bottom w:val="single" w:sz="6" w:color="C7D7E7"/>
            </w:tcBorders>
          </w:tcPr>
          <w:p>
            <w:pPr>
              <w:spacing w:before="40" w:after="40" w:line="269" w:lineRule="auto"/>
            </w:pPr>
            <w:r>
              <w:rPr>
                <w:rFonts w:ascii="Noto Sans CJK SC" w:hAnsi="Noto Sans CJK SC" w:eastAsia="Noto Sans CJK SC" w:cs="Noto Sans CJK SC"/>
                <w:sz w:val="20"/>
              </w:rPr>
              <w:t>w_Δ</w:t>
            </w:r>
          </w:p>
        </w:tc>
        <w:tc>
          <w:tcPr>
            <w:tcW w:type="dxa" w:w="2324"/>
            <w:vAlign w:val="center"/>
            <w:tcMar>
              <w:top w:w="120" w:type="dxa"/>
              <w:start w:w="140" w:type="dxa"/>
              <w:bottom w:w="120" w:type="dxa"/>
              <w:end w:w="140" w:type="dxa"/>
            </w:tcMar>
            <w:tcBorders>
              <w:left w:val="single" w:sz="6" w:color="C7D7E7"/>
              <w:top w:val="single" w:sz="6" w:color="C7D7E7"/>
              <w:right w:val="single" w:sz="6" w:color="C7D7E7"/>
              <w:bottom w:val="single" w:sz="6" w:color="C7D7E7"/>
            </w:tcBorders>
          </w:tcPr>
          <w:p>
            <w:pPr>
              <w:spacing w:before="40" w:after="40" w:line="269" w:lineRule="auto"/>
            </w:pPr>
            <w:r>
              <w:rPr>
                <w:rFonts w:ascii="Noto Sans CJK SC" w:hAnsi="Noto Sans CJK SC" w:eastAsia="Noto Sans CJK SC" w:cs="Noto Sans CJK SC"/>
                <w:sz w:val="20"/>
              </w:rPr>
              <w:t>0.20</w:t>
            </w:r>
          </w:p>
        </w:tc>
        <w:tc>
          <w:tcPr>
            <w:tcW w:type="dxa" w:w="4082"/>
            <w:vAlign w:val="center"/>
            <w:tcMar>
              <w:top w:w="120" w:type="dxa"/>
              <w:start w:w="140" w:type="dxa"/>
              <w:bottom w:w="120" w:type="dxa"/>
              <w:end w:w="140" w:type="dxa"/>
            </w:tcMar>
            <w:tcBorders>
              <w:left w:val="single" w:sz="6" w:color="C7D7E7"/>
              <w:top w:val="single" w:sz="6" w:color="C7D7E7"/>
              <w:right w:val="single" w:sz="6" w:color="C7D7E7"/>
              <w:bottom w:val="single" w:sz="6" w:color="C7D7E7"/>
            </w:tcBorders>
          </w:tcPr>
          <w:p>
            <w:pPr>
              <w:spacing w:before="40" w:after="40" w:line="269" w:lineRule="auto"/>
            </w:pPr>
            <w:r>
              <w:rPr>
                <w:rFonts w:ascii="Noto Sans CJK SC" w:hAnsi="Noto Sans CJK SC" w:eastAsia="Noto Sans CJK SC" w:cs="Noto Sans CJK SC"/>
                <w:sz w:val="20"/>
              </w:rPr>
              <w:t>趋势项先从较小权重起步，避免训练初期抖动。</w:t>
            </w:r>
          </w:p>
        </w:tc>
      </w:tr>
      <w:tr>
        <w:tc>
          <w:tcPr>
            <w:tcW w:type="dxa" w:w="2268"/>
            <w:vAlign w:val="center"/>
            <w:tcMar>
              <w:top w:w="120" w:type="dxa"/>
              <w:start w:w="140" w:type="dxa"/>
              <w:bottom w:w="120" w:type="dxa"/>
              <w:end w:w="140" w:type="dxa"/>
            </w:tcMar>
            <w:tcBorders>
              <w:left w:val="single" w:sz="6" w:color="C7D7E7"/>
              <w:top w:val="single" w:sz="6" w:color="C7D7E7"/>
              <w:right w:val="single" w:sz="6" w:color="C7D7E7"/>
              <w:bottom w:val="single" w:sz="6" w:color="C7D7E7"/>
            </w:tcBorders>
          </w:tcPr>
          <w:p>
            <w:pPr>
              <w:spacing w:before="40" w:after="40" w:line="269" w:lineRule="auto"/>
            </w:pPr>
            <w:r>
              <w:rPr>
                <w:rFonts w:ascii="Noto Sans CJK SC" w:hAnsi="Noto Sans CJK SC" w:eastAsia="Noto Sans CJK SC" w:cs="Noto Sans CJK SC"/>
                <w:sz w:val="20"/>
              </w:rPr>
              <w:t>λ_neg</w:t>
            </w:r>
          </w:p>
        </w:tc>
        <w:tc>
          <w:tcPr>
            <w:tcW w:type="dxa" w:w="2324"/>
            <w:vAlign w:val="center"/>
            <w:tcMar>
              <w:top w:w="120" w:type="dxa"/>
              <w:start w:w="140" w:type="dxa"/>
              <w:bottom w:w="120" w:type="dxa"/>
              <w:end w:w="140" w:type="dxa"/>
            </w:tcMar>
            <w:tcBorders>
              <w:left w:val="single" w:sz="6" w:color="C7D7E7"/>
              <w:top w:val="single" w:sz="6" w:color="C7D7E7"/>
              <w:right w:val="single" w:sz="6" w:color="C7D7E7"/>
              <w:bottom w:val="single" w:sz="6" w:color="C7D7E7"/>
            </w:tcBorders>
          </w:tcPr>
          <w:p>
            <w:pPr>
              <w:spacing w:before="40" w:after="40" w:line="269" w:lineRule="auto"/>
            </w:pPr>
            <w:r>
              <w:rPr>
                <w:rFonts w:ascii="Noto Sans CJK SC" w:hAnsi="Noto Sans CJK SC" w:eastAsia="Noto Sans CJK SC" w:cs="Noto Sans CJK SC"/>
                <w:sz w:val="20"/>
              </w:rPr>
              <w:t>1.0</w:t>
            </w:r>
          </w:p>
        </w:tc>
        <w:tc>
          <w:tcPr>
            <w:tcW w:type="dxa" w:w="4082"/>
            <w:vAlign w:val="center"/>
            <w:tcMar>
              <w:top w:w="120" w:type="dxa"/>
              <w:start w:w="140" w:type="dxa"/>
              <w:bottom w:w="120" w:type="dxa"/>
              <w:end w:w="140" w:type="dxa"/>
            </w:tcMar>
            <w:tcBorders>
              <w:left w:val="single" w:sz="6" w:color="C7D7E7"/>
              <w:top w:val="single" w:sz="6" w:color="C7D7E7"/>
              <w:right w:val="single" w:sz="6" w:color="C7D7E7"/>
              <w:bottom w:val="single" w:sz="6" w:color="C7D7E7"/>
            </w:tcBorders>
          </w:tcPr>
          <w:p>
            <w:pPr>
              <w:spacing w:before="40" w:after="40" w:line="269" w:lineRule="auto"/>
            </w:pPr>
            <w:r>
              <w:rPr>
                <w:rFonts w:ascii="Noto Sans CJK SC" w:hAnsi="Noto Sans CJK SC" w:eastAsia="Noto Sans CJK SC" w:cs="Noto Sans CJK SC"/>
                <w:sz w:val="20"/>
              </w:rPr>
              <w:t>比 cheap anchor 更差时直接处罚。</w:t>
            </w:r>
          </w:p>
        </w:tc>
      </w:tr>
      <w:tr>
        <w:tc>
          <w:tcPr>
            <w:tcW w:type="dxa" w:w="2268"/>
            <w:vAlign w:val="center"/>
            <w:tcMar>
              <w:top w:w="120" w:type="dxa"/>
              <w:start w:w="140" w:type="dxa"/>
              <w:bottom w:w="120" w:type="dxa"/>
              <w:end w:w="140" w:type="dxa"/>
            </w:tcMar>
            <w:tcBorders>
              <w:left w:val="single" w:sz="6" w:color="C7D7E7"/>
              <w:top w:val="single" w:sz="6" w:color="C7D7E7"/>
              <w:right w:val="single" w:sz="6" w:color="C7D7E7"/>
              <w:bottom w:val="single" w:sz="6" w:color="C7D7E7"/>
            </w:tcBorders>
          </w:tcPr>
          <w:p>
            <w:pPr>
              <w:spacing w:before="40" w:after="40" w:line="269" w:lineRule="auto"/>
            </w:pPr>
            <w:r>
              <w:rPr>
                <w:rFonts w:ascii="Noto Sans CJK SC" w:hAnsi="Noto Sans CJK SC" w:eastAsia="Noto Sans CJK SC" w:cs="Noto Sans CJK SC"/>
                <w:sz w:val="20"/>
              </w:rPr>
              <w:t>γ</w:t>
            </w:r>
          </w:p>
        </w:tc>
        <w:tc>
          <w:tcPr>
            <w:tcW w:type="dxa" w:w="2324"/>
            <w:vAlign w:val="center"/>
            <w:tcMar>
              <w:top w:w="120" w:type="dxa"/>
              <w:start w:w="140" w:type="dxa"/>
              <w:bottom w:w="120" w:type="dxa"/>
              <w:end w:w="140" w:type="dxa"/>
            </w:tcMar>
            <w:tcBorders>
              <w:left w:val="single" w:sz="6" w:color="C7D7E7"/>
              <w:top w:val="single" w:sz="6" w:color="C7D7E7"/>
              <w:right w:val="single" w:sz="6" w:color="C7D7E7"/>
              <w:bottom w:val="single" w:sz="6" w:color="C7D7E7"/>
            </w:tcBorders>
          </w:tcPr>
          <w:p>
            <w:pPr>
              <w:spacing w:before="40" w:after="40" w:line="269" w:lineRule="auto"/>
            </w:pPr>
            <w:r>
              <w:rPr>
                <w:rFonts w:ascii="Noto Sans CJK SC" w:hAnsi="Noto Sans CJK SC" w:eastAsia="Noto Sans CJK SC" w:cs="Noto Sans CJK SC"/>
                <w:sz w:val="20"/>
              </w:rPr>
              <w:t>2.0</w:t>
            </w:r>
          </w:p>
        </w:tc>
        <w:tc>
          <w:tcPr>
            <w:tcW w:type="dxa" w:w="4082"/>
            <w:vAlign w:val="center"/>
            <w:tcMar>
              <w:top w:w="120" w:type="dxa"/>
              <w:start w:w="140" w:type="dxa"/>
              <w:bottom w:w="120" w:type="dxa"/>
              <w:end w:w="140" w:type="dxa"/>
            </w:tcMar>
            <w:tcBorders>
              <w:left w:val="single" w:sz="6" w:color="C7D7E7"/>
              <w:top w:val="single" w:sz="6" w:color="C7D7E7"/>
              <w:right w:val="single" w:sz="6" w:color="C7D7E7"/>
              <w:bottom w:val="single" w:sz="6" w:color="C7D7E7"/>
            </w:tcBorders>
          </w:tcPr>
          <w:p>
            <w:pPr>
              <w:spacing w:before="40" w:after="40" w:line="269" w:lineRule="auto"/>
            </w:pPr>
            <w:r>
              <w:rPr>
                <w:rFonts w:ascii="Noto Sans CJK SC" w:hAnsi="Noto Sans CJK SC" w:eastAsia="Noto Sans CJK SC" w:cs="Noto Sans CJK SC"/>
                <w:sz w:val="20"/>
              </w:rPr>
              <w:t>凸成本的推荐起点。</w:t>
            </w:r>
          </w:p>
        </w:tc>
      </w:tr>
      <w:tr>
        <w:tc>
          <w:tcPr>
            <w:tcW w:type="dxa" w:w="2268"/>
            <w:vAlign w:val="center"/>
            <w:tcMar>
              <w:top w:w="120" w:type="dxa"/>
              <w:start w:w="140" w:type="dxa"/>
              <w:bottom w:w="120" w:type="dxa"/>
              <w:end w:w="140" w:type="dxa"/>
            </w:tcMar>
            <w:tcBorders>
              <w:left w:val="single" w:sz="6" w:color="C7D7E7"/>
              <w:top w:val="single" w:sz="6" w:color="C7D7E7"/>
              <w:right w:val="single" w:sz="6" w:color="C7D7E7"/>
              <w:bottom w:val="single" w:sz="6" w:color="C7D7E7"/>
            </w:tcBorders>
          </w:tcPr>
          <w:p>
            <w:pPr>
              <w:spacing w:before="40" w:after="40" w:line="269" w:lineRule="auto"/>
            </w:pPr>
            <w:r>
              <w:rPr>
                <w:rFonts w:ascii="Noto Sans CJK SC" w:hAnsi="Noto Sans CJK SC" w:eastAsia="Noto Sans CJK SC" w:cs="Noto Sans CJK SC"/>
                <w:sz w:val="20"/>
              </w:rPr>
              <w:t>K_lo / K_hi</w:t>
            </w:r>
          </w:p>
        </w:tc>
        <w:tc>
          <w:tcPr>
            <w:tcW w:type="dxa" w:w="2324"/>
            <w:vAlign w:val="center"/>
            <w:tcMar>
              <w:top w:w="120" w:type="dxa"/>
              <w:start w:w="140" w:type="dxa"/>
              <w:bottom w:w="120" w:type="dxa"/>
              <w:end w:w="140" w:type="dxa"/>
            </w:tcMar>
            <w:tcBorders>
              <w:left w:val="single" w:sz="6" w:color="C7D7E7"/>
              <w:top w:val="single" w:sz="6" w:color="C7D7E7"/>
              <w:right w:val="single" w:sz="6" w:color="C7D7E7"/>
              <w:bottom w:val="single" w:sz="6" w:color="C7D7E7"/>
            </w:tcBorders>
          </w:tcPr>
          <w:p>
            <w:pPr>
              <w:spacing w:before="40" w:after="40" w:line="269" w:lineRule="auto"/>
            </w:pPr>
            <w:r>
              <w:rPr>
                <w:rFonts w:ascii="Noto Sans CJK SC" w:hAnsi="Noto Sans CJK SC" w:eastAsia="Noto Sans CJK SC" w:cs="Noto Sans CJK SC"/>
                <w:sz w:val="20"/>
              </w:rPr>
              <w:t>3 或 4 / 25</w:t>
            </w:r>
          </w:p>
        </w:tc>
        <w:tc>
          <w:tcPr>
            <w:tcW w:type="dxa" w:w="4082"/>
            <w:vAlign w:val="center"/>
            <w:tcMar>
              <w:top w:w="120" w:type="dxa"/>
              <w:start w:w="140" w:type="dxa"/>
              <w:bottom w:w="120" w:type="dxa"/>
              <w:end w:w="140" w:type="dxa"/>
            </w:tcMar>
            <w:tcBorders>
              <w:left w:val="single" w:sz="6" w:color="C7D7E7"/>
              <w:top w:val="single" w:sz="6" w:color="C7D7E7"/>
              <w:right w:val="single" w:sz="6" w:color="C7D7E7"/>
              <w:bottom w:val="single" w:sz="6" w:color="C7D7E7"/>
            </w:tcBorders>
          </w:tcPr>
          <w:p>
            <w:pPr>
              <w:spacing w:before="40" w:after="40" w:line="269" w:lineRule="auto"/>
            </w:pPr>
            <w:r>
              <w:rPr>
                <w:rFonts w:ascii="Noto Sans CJK SC" w:hAnsi="Noto Sans CJK SC" w:eastAsia="Noto Sans CJK SC" w:cs="Noto Sans CJK SC"/>
                <w:sz w:val="20"/>
              </w:rPr>
              <w:t>分别对应 cheap anchor 与 high-quality anchor。</w:t>
            </w:r>
          </w:p>
        </w:tc>
      </w:tr>
      <w:tr>
        <w:tc>
          <w:tcPr>
            <w:tcW w:type="dxa" w:w="2268"/>
            <w:vAlign w:val="center"/>
            <w:tcMar>
              <w:top w:w="120" w:type="dxa"/>
              <w:start w:w="140" w:type="dxa"/>
              <w:bottom w:w="120" w:type="dxa"/>
              <w:end w:w="140" w:type="dxa"/>
            </w:tcMar>
            <w:tcBorders>
              <w:left w:val="single" w:sz="6" w:color="C7D7E7"/>
              <w:top w:val="single" w:sz="6" w:color="C7D7E7"/>
              <w:right w:val="single" w:sz="6" w:color="C7D7E7"/>
              <w:bottom w:val="single" w:sz="6" w:color="C7D7E7"/>
            </w:tcBorders>
          </w:tcPr>
          <w:p>
            <w:pPr>
              <w:spacing w:before="40" w:after="40" w:line="269" w:lineRule="auto"/>
            </w:pPr>
            <w:r>
              <w:rPr>
                <w:rFonts w:ascii="Noto Sans CJK SC" w:hAnsi="Noto Sans CJK SC" w:eastAsia="Noto Sans CJK SC" w:cs="Noto Sans CJK SC"/>
                <w:sz w:val="20"/>
              </w:rPr>
              <w:t>λ_c</w:t>
            </w:r>
          </w:p>
        </w:tc>
        <w:tc>
          <w:tcPr>
            <w:tcW w:type="dxa" w:w="2324"/>
            <w:vAlign w:val="center"/>
            <w:tcMar>
              <w:top w:w="120" w:type="dxa"/>
              <w:start w:w="140" w:type="dxa"/>
              <w:bottom w:w="120" w:type="dxa"/>
              <w:end w:w="140" w:type="dxa"/>
            </w:tcMar>
            <w:tcBorders>
              <w:left w:val="single" w:sz="6" w:color="C7D7E7"/>
              <w:top w:val="single" w:sz="6" w:color="C7D7E7"/>
              <w:right w:val="single" w:sz="6" w:color="C7D7E7"/>
              <w:bottom w:val="single" w:sz="6" w:color="C7D7E7"/>
            </w:tcBorders>
          </w:tcPr>
          <w:p>
            <w:pPr>
              <w:spacing w:before="40" w:after="40" w:line="269" w:lineRule="auto"/>
            </w:pPr>
            <w:r>
              <w:rPr>
                <w:rFonts w:ascii="Noto Sans CJK SC" w:hAnsi="Noto Sans CJK SC" w:eastAsia="Noto Sans CJK SC" w:cs="Noto Sans CJK SC"/>
                <w:sz w:val="20"/>
              </w:rPr>
              <w:t>0.35 ~ 0.50</w:t>
            </w:r>
          </w:p>
        </w:tc>
        <w:tc>
          <w:tcPr>
            <w:tcW w:type="dxa" w:w="4082"/>
            <w:vAlign w:val="center"/>
            <w:tcMar>
              <w:top w:w="120" w:type="dxa"/>
              <w:start w:w="140" w:type="dxa"/>
              <w:bottom w:w="120" w:type="dxa"/>
              <w:end w:w="140" w:type="dxa"/>
            </w:tcMar>
            <w:tcBorders>
              <w:left w:val="single" w:sz="6" w:color="C7D7E7"/>
              <w:top w:val="single" w:sz="6" w:color="C7D7E7"/>
              <w:right w:val="single" w:sz="6" w:color="C7D7E7"/>
              <w:bottom w:val="single" w:sz="6" w:color="C7D7E7"/>
            </w:tcBorders>
          </w:tcPr>
          <w:p>
            <w:pPr>
              <w:spacing w:before="40" w:after="40" w:line="269" w:lineRule="auto"/>
            </w:pPr>
            <w:r>
              <w:rPr>
                <w:rFonts w:ascii="Noto Sans CJK SC" w:hAnsi="Noto Sans CJK SC" w:eastAsia="Noto Sans CJK SC" w:cs="Noto Sans CJK SC"/>
                <w:sz w:val="20"/>
              </w:rPr>
              <w:t>控制效率优先与质量优先的整体权衡。</w:t>
            </w:r>
          </w:p>
        </w:tc>
      </w:tr>
    </w:tbl>
    <w:p>
      <w:pPr>
        <w:spacing w:after="80"/>
      </w:pPr>
    </w:p>
    <w:p>
      <w:pPr>
        <w:pStyle w:val="Heading1"/>
        <w:keepNext/>
        <w:spacing w:before="200" w:after="80"/>
      </w:pPr>
      <w:r>
        <w:rPr>
          <w:rFonts w:ascii="Noto Sans CJK SC" w:hAnsi="Noto Sans CJK SC" w:eastAsia="Noto Sans CJK SC" w:cs="Noto Sans CJK SC"/>
          <w:b/>
          <w:color w:val="1F4E79"/>
          <w:sz w:val="30"/>
        </w:rPr>
        <w:t>11. 风险点与调参建议</w:t>
      </w:r>
    </w:p>
    <w:p>
      <w:pPr>
        <w:pStyle w:val="ListBullet"/>
        <w:spacing w:after="50" w:line="298" w:lineRule="auto"/>
      </w:pPr>
      <w:r>
        <w:rPr>
          <w:rFonts w:ascii="Noto Serif CJK SC" w:hAnsi="Noto Serif CJK SC" w:eastAsia="Noto Serif CJK SC" w:cs="Noto Serif CJK SC"/>
          <w:sz w:val="21"/>
        </w:rPr>
        <w:t>如果 ω_t 中的 η_1 过大，模型会过度关注剧烈变化帧，忽略平稳维持动作。</w:t>
      </w:r>
    </w:p>
    <w:p>
      <w:pPr>
        <w:pStyle w:val="ListBullet"/>
        <w:spacing w:after="50" w:line="298" w:lineRule="auto"/>
      </w:pPr>
      <w:r>
        <w:rPr>
          <w:rFonts w:ascii="Noto Serif CJK SC" w:hAnsi="Noto Serif CJK SC" w:eastAsia="Noto Serif CJK SC" w:cs="Noto Serif CJK SC"/>
          <w:sz w:val="21"/>
        </w:rPr>
        <w:t>如果 L_Δ 权重过高，趋势项可能在训练早期放大噪声，应先小后大。</w:t>
      </w:r>
    </w:p>
    <w:p>
      <w:pPr>
        <w:pStyle w:val="ListBullet"/>
        <w:spacing w:after="50" w:line="298" w:lineRule="auto"/>
      </w:pPr>
      <w:r>
        <w:rPr>
          <w:rFonts w:ascii="Noto Serif CJK SC" w:hAnsi="Noto Serif CJK SC" w:eastAsia="Noto Serif CJK SC" w:cs="Noto Serif CJK SC"/>
          <w:sz w:val="21"/>
        </w:rPr>
        <w:t>若 cheap anchor 过低，可能导致大量样本的 g_j 容易为正，区分度下降；可在 3 / 4 / 5 步之间做验证。</w:t>
      </w:r>
    </w:p>
    <w:p>
      <w:pPr>
        <w:pStyle w:val="ListBullet"/>
        <w:spacing w:after="50" w:line="298" w:lineRule="auto"/>
      </w:pPr>
      <w:r>
        <w:rPr>
          <w:rFonts w:ascii="Noto Serif CJK SC" w:hAnsi="Noto Serif CJK SC" w:eastAsia="Noto Serif CJK SC" w:cs="Noto Serif CJK SC"/>
          <w:sz w:val="21"/>
        </w:rPr>
        <w:t>若 λ_c 过大，模型仍可能再次塌缩到统一低步数；若 λ_c 过小，则会失去计算节省价值。</w:t>
      </w:r>
    </w:p>
    <w:p>
      <w:pPr>
        <w:pStyle w:val="ListBullet"/>
        <w:spacing w:after="50" w:line="298" w:lineRule="auto"/>
      </w:pPr>
      <w:r>
        <w:rPr>
          <w:rFonts w:ascii="Noto Serif CJK SC" w:hAnsi="Noto Serif CJK SC" w:eastAsia="Noto Serif CJK SC" w:cs="Noto Serif CJK SC"/>
          <w:sz w:val="21"/>
        </w:rPr>
        <w:t>建议以 success-latency frontier、平均视频步数分布、关键阶段步数分配和不同难度样本的 gap 统计作为主要验证指标。</w:t>
      </w:r>
    </w:p>
    <w:p>
      <w:pPr>
        <w:pStyle w:val="Heading1"/>
        <w:keepNext/>
        <w:spacing w:before="200" w:after="80"/>
      </w:pPr>
      <w:r>
        <w:rPr>
          <w:rFonts w:ascii="Noto Sans CJK SC" w:hAnsi="Noto Sans CJK SC" w:eastAsia="Noto Sans CJK SC" w:cs="Noto Sans CJK SC"/>
          <w:b/>
          <w:color w:val="1F4E79"/>
          <w:sz w:val="30"/>
        </w:rPr>
        <w:t>12. 结论</w:t>
      </w:r>
    </w:p>
    <w:p>
      <w:pPr>
        <w:spacing w:after="120" w:before="0" w:line="324" w:lineRule="auto"/>
      </w:pPr>
      <w:r>
        <w:rPr>
          <w:rFonts w:ascii="Noto Serif CJK SC" w:hAnsi="Noto Serif CJK SC" w:eastAsia="Noto Serif CJK SC" w:cs="Noto Serif CJK SC"/>
          <w:b w:val="0"/>
          <w:i w:val="0"/>
        </w:rPr>
        <w:t>这套新奖励函数的本质，不是把旧 reward 做局部修修补补，而是把评价逻辑整体改写为：在每个样本自己的难度尺度上，衡量当前路径相对于低预算基线与高质量上限，到底恢复了多少任务相关的语义动作质量，并据此与凸计算成本做权衡。</w:t>
      </w:r>
    </w:p>
    <w:tbl>
      <w:tblPr>
        <w:tblW w:type="auto" w:w="0"/>
        <w:jc w:val="center"/>
        <w:tblLook w:firstColumn="1" w:firstRow="1" w:lastColumn="0" w:lastRow="0" w:noHBand="0" w:noVBand="1" w:val="04A0"/>
      </w:tblPr>
      <w:tblGrid>
        <w:gridCol w:w="9746"/>
      </w:tblGrid>
      <w:tr>
        <w:tc>
          <w:tcPr>
            <w:tcW w:type="dxa" w:w="9746"/>
            <w:shd w:fill="FFF7E6"/>
            <w:tcBorders>
              <w:left w:val="single" w:sz="10" w:color="C7D7E7"/>
              <w:top w:val="single" w:sz="10" w:color="C7D7E7"/>
              <w:right w:val="single" w:sz="10" w:color="C7D7E7"/>
              <w:bottom w:val="single" w:sz="10" w:color="C7D7E7"/>
            </w:tcBorders>
            <w:tcMar>
              <w:top w:w="170" w:type="dxa"/>
              <w:start w:w="190" w:type="dxa"/>
              <w:bottom w:w="170" w:type="dxa"/>
              <w:end w:w="190" w:type="dxa"/>
            </w:tcMar>
          </w:tcPr>
          <w:p>
            <w:pPr>
              <w:spacing w:after="100"/>
            </w:pPr>
            <w:r>
              <w:rPr>
                <w:rFonts w:ascii="Noto Sans CJK SC" w:hAnsi="Noto Sans CJK SC" w:eastAsia="Noto Sans CJK SC" w:cs="Noto Sans CJK SC"/>
                <w:b/>
                <w:color w:val="1F4E79"/>
                <w:sz w:val="22"/>
              </w:rPr>
              <w:t>结论性表述</w:t>
            </w:r>
          </w:p>
          <w:p>
            <w:pPr>
              <w:spacing w:after="0" w:line="300" w:lineRule="auto"/>
            </w:pPr>
            <w:r>
              <w:rPr>
                <w:rFonts w:ascii="Noto Serif CJK SC" w:hAnsi="Noto Serif CJK SC" w:eastAsia="Noto Serif CJK SC" w:cs="Noto Serif CJK SC"/>
                <w:color w:val="282828"/>
                <w:sz w:val="21"/>
              </w:rPr>
              <w:t>推荐将 Hazard Scheduler 的 reward 从“绝对 action loss - 线性步数成本”升级为“首帧 / 序列 / 趋势语义收益 + 双锚点归一化 + 难度加权 - 归一化凸成本”。在此基础上，调度器才更有机会学出真正的样本自适应与阶段自适应预算分配策略。</w:t>
            </w:r>
          </w:p>
        </w:tc>
      </w:tr>
    </w:tbl>
    <w:p>
      <w:pPr>
        <w:spacing w:after="20"/>
      </w:pPr>
    </w:p>
    <w:p>
      <w:pPr>
        <w:pStyle w:val="Heading1"/>
        <w:keepNext/>
        <w:spacing w:before="200" w:after="80"/>
      </w:pPr>
      <w:r>
        <w:rPr>
          <w:rFonts w:ascii="Noto Sans CJK SC" w:hAnsi="Noto Sans CJK SC" w:eastAsia="Noto Sans CJK SC" w:cs="Noto Sans CJK SC"/>
          <w:b/>
          <w:color w:val="1F4E79"/>
          <w:sz w:val="30"/>
        </w:rPr>
        <w:t>附录 A. 符号速查</w:t>
      </w:r>
    </w:p>
    <w:tbl>
      <w:tblPr>
        <w:tblStyle w:val="TableGrid"/>
        <w:tblW w:type="auto" w:w="0"/>
        <w:jc w:val="center"/>
        <w:tblLayout w:type="fixed"/>
        <w:tblLook w:firstColumn="1" w:firstRow="1" w:lastColumn="0" w:lastRow="0" w:noHBand="0" w:noVBand="1" w:val="04A0"/>
      </w:tblPr>
      <w:tblGrid>
        <w:gridCol w:w="4873"/>
        <w:gridCol w:w="4873"/>
      </w:tblGrid>
      <w:tr>
        <w:trPr>
          <w:tblHeader w:val="true"/>
        </w:trPr>
        <w:tc>
          <w:tcPr>
            <w:tcW w:type="dxa" w:w="2268"/>
            <w:vAlign w:val="center"/>
            <w:tcMar>
              <w:top w:w="120" w:type="dxa"/>
              <w:start w:w="140" w:type="dxa"/>
              <w:bottom w:w="120" w:type="dxa"/>
              <w:end w:w="140" w:type="dxa"/>
            </w:tcMar>
            <w:tcBorders>
              <w:left w:val="single" w:sz="6" w:color="C7D7E7"/>
              <w:top w:val="single" w:sz="6" w:color="C7D7E7"/>
              <w:right w:val="single" w:sz="6" w:color="C7D7E7"/>
              <w:bottom w:val="single" w:sz="6" w:color="C7D7E7"/>
            </w:tcBorders>
            <w:shd w:fill="EAF2F8"/>
          </w:tcPr>
          <w:p>
            <w:pPr>
              <w:spacing w:before="40" w:after="40" w:line="269" w:lineRule="auto"/>
            </w:pPr>
            <w:r>
              <w:rPr>
                <w:rFonts w:ascii="Noto Sans CJK SC" w:hAnsi="Noto Sans CJK SC" w:eastAsia="Noto Sans CJK SC" w:cs="Noto Sans CJK SC"/>
                <w:b/>
                <w:color w:val="1F4E79"/>
                <w:sz w:val="20"/>
              </w:rPr>
              <w:t>符号</w:t>
            </w:r>
          </w:p>
        </w:tc>
        <w:tc>
          <w:tcPr>
            <w:tcW w:type="dxa" w:w="6406"/>
            <w:vAlign w:val="center"/>
            <w:tcMar>
              <w:top w:w="120" w:type="dxa"/>
              <w:start w:w="140" w:type="dxa"/>
              <w:bottom w:w="120" w:type="dxa"/>
              <w:end w:w="140" w:type="dxa"/>
            </w:tcMar>
            <w:tcBorders>
              <w:left w:val="single" w:sz="6" w:color="C7D7E7"/>
              <w:top w:val="single" w:sz="6" w:color="C7D7E7"/>
              <w:right w:val="single" w:sz="6" w:color="C7D7E7"/>
              <w:bottom w:val="single" w:sz="6" w:color="C7D7E7"/>
            </w:tcBorders>
            <w:shd w:fill="EAF2F8"/>
          </w:tcPr>
          <w:p>
            <w:pPr>
              <w:spacing w:before="40" w:after="40" w:line="269" w:lineRule="auto"/>
            </w:pPr>
            <w:r>
              <w:rPr>
                <w:rFonts w:ascii="Noto Sans CJK SC" w:hAnsi="Noto Sans CJK SC" w:eastAsia="Noto Sans CJK SC" w:cs="Noto Sans CJK SC"/>
                <w:b/>
                <w:color w:val="1F4E79"/>
                <w:sz w:val="20"/>
              </w:rPr>
              <w:t>含义</w:t>
            </w:r>
          </w:p>
        </w:tc>
      </w:tr>
      <w:tr>
        <w:tc>
          <w:tcPr>
            <w:tcW w:type="dxa" w:w="2268"/>
            <w:vAlign w:val="center"/>
            <w:tcMar>
              <w:top w:w="120" w:type="dxa"/>
              <w:start w:w="140" w:type="dxa"/>
              <w:bottom w:w="120" w:type="dxa"/>
              <w:end w:w="140" w:type="dxa"/>
            </w:tcMar>
            <w:tcBorders>
              <w:left w:val="single" w:sz="6" w:color="C7D7E7"/>
              <w:top w:val="single" w:sz="6" w:color="C7D7E7"/>
              <w:right w:val="single" w:sz="6" w:color="C7D7E7"/>
              <w:bottom w:val="single" w:sz="6" w:color="C7D7E7"/>
            </w:tcBorders>
          </w:tcPr>
          <w:p>
            <w:pPr>
              <w:spacing w:before="40" w:after="40" w:line="269" w:lineRule="auto"/>
            </w:pPr>
            <w:r>
              <w:rPr>
                <w:rFonts w:ascii="Noto Sans CJK SC" w:hAnsi="Noto Sans CJK SC" w:eastAsia="Noto Sans CJK SC" w:cs="Noto Sans CJK SC"/>
                <w:sz w:val="20"/>
              </w:rPr>
              <w:t>x</w:t>
            </w:r>
          </w:p>
        </w:tc>
        <w:tc>
          <w:tcPr>
            <w:tcW w:type="dxa" w:w="6406"/>
            <w:vAlign w:val="center"/>
            <w:tcMar>
              <w:top w:w="120" w:type="dxa"/>
              <w:start w:w="140" w:type="dxa"/>
              <w:bottom w:w="120" w:type="dxa"/>
              <w:end w:w="140" w:type="dxa"/>
            </w:tcMar>
            <w:tcBorders>
              <w:left w:val="single" w:sz="6" w:color="C7D7E7"/>
              <w:top w:val="single" w:sz="6" w:color="C7D7E7"/>
              <w:right w:val="single" w:sz="6" w:color="C7D7E7"/>
              <w:bottom w:val="single" w:sz="6" w:color="C7D7E7"/>
            </w:tcBorders>
          </w:tcPr>
          <w:p>
            <w:pPr>
              <w:spacing w:before="40" w:after="40" w:line="269" w:lineRule="auto"/>
            </w:pPr>
            <w:r>
              <w:rPr>
                <w:rFonts w:ascii="Noto Sans CJK SC" w:hAnsi="Noto Sans CJK SC" w:eastAsia="Noto Sans CJK SC" w:cs="Noto Sans CJK SC"/>
                <w:sz w:val="20"/>
              </w:rPr>
              <w:t>当前样本或当前 rollout 的起始状态。</w:t>
            </w:r>
          </w:p>
        </w:tc>
      </w:tr>
      <w:tr>
        <w:tc>
          <w:tcPr>
            <w:tcW w:type="dxa" w:w="2268"/>
            <w:vAlign w:val="center"/>
            <w:tcMar>
              <w:top w:w="120" w:type="dxa"/>
              <w:start w:w="140" w:type="dxa"/>
              <w:bottom w:w="120" w:type="dxa"/>
              <w:end w:w="140" w:type="dxa"/>
            </w:tcMar>
            <w:tcBorders>
              <w:left w:val="single" w:sz="6" w:color="C7D7E7"/>
              <w:top w:val="single" w:sz="6" w:color="C7D7E7"/>
              <w:right w:val="single" w:sz="6" w:color="C7D7E7"/>
              <w:bottom w:val="single" w:sz="6" w:color="C7D7E7"/>
            </w:tcBorders>
          </w:tcPr>
          <w:p>
            <w:pPr>
              <w:spacing w:before="40" w:after="40" w:line="269" w:lineRule="auto"/>
            </w:pPr>
            <w:r>
              <w:rPr>
                <w:rFonts w:ascii="Noto Sans CJK SC" w:hAnsi="Noto Sans CJK SC" w:eastAsia="Noto Sans CJK SC" w:cs="Noto Sans CJK SC"/>
                <w:sz w:val="20"/>
              </w:rPr>
              <w:t>τ</w:t>
            </w:r>
          </w:p>
        </w:tc>
        <w:tc>
          <w:tcPr>
            <w:tcW w:type="dxa" w:w="6406"/>
            <w:vAlign w:val="center"/>
            <w:tcMar>
              <w:top w:w="120" w:type="dxa"/>
              <w:start w:w="140" w:type="dxa"/>
              <w:bottom w:w="120" w:type="dxa"/>
              <w:end w:w="140" w:type="dxa"/>
            </w:tcMar>
            <w:tcBorders>
              <w:left w:val="single" w:sz="6" w:color="C7D7E7"/>
              <w:top w:val="single" w:sz="6" w:color="C7D7E7"/>
              <w:right w:val="single" w:sz="6" w:color="C7D7E7"/>
              <w:bottom w:val="single" w:sz="6" w:color="C7D7E7"/>
            </w:tcBorders>
          </w:tcPr>
          <w:p>
            <w:pPr>
              <w:spacing w:before="40" w:after="40" w:line="269" w:lineRule="auto"/>
            </w:pPr>
            <w:r>
              <w:rPr>
                <w:rFonts w:ascii="Noto Sans CJK SC" w:hAnsi="Noto Sans CJK SC" w:eastAsia="Noto Sans CJK SC" w:cs="Noto Sans CJK SC"/>
                <w:sz w:val="20"/>
              </w:rPr>
              <w:t>当前 scheduler 采样得到的完整视频调度路径。</w:t>
            </w:r>
          </w:p>
        </w:tc>
      </w:tr>
      <w:tr>
        <w:tc>
          <w:tcPr>
            <w:tcW w:type="dxa" w:w="2268"/>
            <w:vAlign w:val="center"/>
            <w:tcMar>
              <w:top w:w="120" w:type="dxa"/>
              <w:start w:w="140" w:type="dxa"/>
              <w:bottom w:w="120" w:type="dxa"/>
              <w:end w:w="140" w:type="dxa"/>
            </w:tcMar>
            <w:tcBorders>
              <w:left w:val="single" w:sz="6" w:color="C7D7E7"/>
              <w:top w:val="single" w:sz="6" w:color="C7D7E7"/>
              <w:right w:val="single" w:sz="6" w:color="C7D7E7"/>
              <w:bottom w:val="single" w:sz="6" w:color="C7D7E7"/>
            </w:tcBorders>
          </w:tcPr>
          <w:p>
            <w:pPr>
              <w:spacing w:before="40" w:after="40" w:line="269" w:lineRule="auto"/>
            </w:pPr>
            <w:r>
              <w:rPr>
                <w:rFonts w:ascii="Noto Sans CJK SC" w:hAnsi="Noto Sans CJK SC" w:eastAsia="Noto Sans CJK SC" w:cs="Noto Sans CJK SC"/>
                <w:sz w:val="20"/>
              </w:rPr>
              <w:t>τ_lo / τ_hi</w:t>
            </w:r>
          </w:p>
        </w:tc>
        <w:tc>
          <w:tcPr>
            <w:tcW w:type="dxa" w:w="6406"/>
            <w:vAlign w:val="center"/>
            <w:tcMar>
              <w:top w:w="120" w:type="dxa"/>
              <w:start w:w="140" w:type="dxa"/>
              <w:bottom w:w="120" w:type="dxa"/>
              <w:end w:w="140" w:type="dxa"/>
            </w:tcMar>
            <w:tcBorders>
              <w:left w:val="single" w:sz="6" w:color="C7D7E7"/>
              <w:top w:val="single" w:sz="6" w:color="C7D7E7"/>
              <w:right w:val="single" w:sz="6" w:color="C7D7E7"/>
              <w:bottom w:val="single" w:sz="6" w:color="C7D7E7"/>
            </w:tcBorders>
          </w:tcPr>
          <w:p>
            <w:pPr>
              <w:spacing w:before="40" w:after="40" w:line="269" w:lineRule="auto"/>
            </w:pPr>
            <w:r>
              <w:rPr>
                <w:rFonts w:ascii="Noto Sans CJK SC" w:hAnsi="Noto Sans CJK SC" w:eastAsia="Noto Sans CJK SC" w:cs="Noto Sans CJK SC"/>
                <w:sz w:val="20"/>
              </w:rPr>
              <w:t>分别表示 cheap anchor 与 high-quality anchor。</w:t>
            </w:r>
          </w:p>
        </w:tc>
      </w:tr>
      <w:tr>
        <w:tc>
          <w:tcPr>
            <w:tcW w:type="dxa" w:w="2268"/>
            <w:vAlign w:val="center"/>
            <w:tcMar>
              <w:top w:w="120" w:type="dxa"/>
              <w:start w:w="140" w:type="dxa"/>
              <w:bottom w:w="120" w:type="dxa"/>
              <w:end w:w="140" w:type="dxa"/>
            </w:tcMar>
            <w:tcBorders>
              <w:left w:val="single" w:sz="6" w:color="C7D7E7"/>
              <w:top w:val="single" w:sz="6" w:color="C7D7E7"/>
              <w:right w:val="single" w:sz="6" w:color="C7D7E7"/>
              <w:bottom w:val="single" w:sz="6" w:color="C7D7E7"/>
            </w:tcBorders>
          </w:tcPr>
          <w:p>
            <w:pPr>
              <w:spacing w:before="40" w:after="40" w:line="269" w:lineRule="auto"/>
            </w:pPr>
            <w:r>
              <w:rPr>
                <w:rFonts w:ascii="Noto Sans CJK SC" w:hAnsi="Noto Sans CJK SC" w:eastAsia="Noto Sans CJK SC" w:cs="Noto Sans CJK SC"/>
                <w:sz w:val="20"/>
              </w:rPr>
              <w:t>L_first, L_seq, L_Δ</w:t>
            </w:r>
          </w:p>
        </w:tc>
        <w:tc>
          <w:tcPr>
            <w:tcW w:type="dxa" w:w="6406"/>
            <w:vAlign w:val="center"/>
            <w:tcMar>
              <w:top w:w="120" w:type="dxa"/>
              <w:start w:w="140" w:type="dxa"/>
              <w:bottom w:w="120" w:type="dxa"/>
              <w:end w:w="140" w:type="dxa"/>
            </w:tcMar>
            <w:tcBorders>
              <w:left w:val="single" w:sz="6" w:color="C7D7E7"/>
              <w:top w:val="single" w:sz="6" w:color="C7D7E7"/>
              <w:right w:val="single" w:sz="6" w:color="C7D7E7"/>
              <w:bottom w:val="single" w:sz="6" w:color="C7D7E7"/>
            </w:tcBorders>
          </w:tcPr>
          <w:p>
            <w:pPr>
              <w:spacing w:before="40" w:after="40" w:line="269" w:lineRule="auto"/>
            </w:pPr>
            <w:r>
              <w:rPr>
                <w:rFonts w:ascii="Noto Sans CJK SC" w:hAnsi="Noto Sans CJK SC" w:eastAsia="Noto Sans CJK SC" w:cs="Noto Sans CJK SC"/>
                <w:sz w:val="20"/>
              </w:rPr>
              <w:t>首帧误差、整段误差、趋势误差。</w:t>
            </w:r>
          </w:p>
        </w:tc>
      </w:tr>
      <w:tr>
        <w:tc>
          <w:tcPr>
            <w:tcW w:type="dxa" w:w="2268"/>
            <w:vAlign w:val="center"/>
            <w:tcMar>
              <w:top w:w="120" w:type="dxa"/>
              <w:start w:w="140" w:type="dxa"/>
              <w:bottom w:w="120" w:type="dxa"/>
              <w:end w:w="140" w:type="dxa"/>
            </w:tcMar>
            <w:tcBorders>
              <w:left w:val="single" w:sz="6" w:color="C7D7E7"/>
              <w:top w:val="single" w:sz="6" w:color="C7D7E7"/>
              <w:right w:val="single" w:sz="6" w:color="C7D7E7"/>
              <w:bottom w:val="single" w:sz="6" w:color="C7D7E7"/>
            </w:tcBorders>
          </w:tcPr>
          <w:p>
            <w:pPr>
              <w:spacing w:before="40" w:after="40" w:line="269" w:lineRule="auto"/>
            </w:pPr>
            <w:r>
              <w:rPr>
                <w:rFonts w:ascii="Noto Sans CJK SC" w:hAnsi="Noto Sans CJK SC" w:eastAsia="Noto Sans CJK SC" w:cs="Noto Sans CJK SC"/>
                <w:sz w:val="20"/>
              </w:rPr>
              <w:t>gap_j(x)</w:t>
            </w:r>
          </w:p>
        </w:tc>
        <w:tc>
          <w:tcPr>
            <w:tcW w:type="dxa" w:w="6406"/>
            <w:vAlign w:val="center"/>
            <w:tcMar>
              <w:top w:w="120" w:type="dxa"/>
              <w:start w:w="140" w:type="dxa"/>
              <w:bottom w:w="120" w:type="dxa"/>
              <w:end w:w="140" w:type="dxa"/>
            </w:tcMar>
            <w:tcBorders>
              <w:left w:val="single" w:sz="6" w:color="C7D7E7"/>
              <w:top w:val="single" w:sz="6" w:color="C7D7E7"/>
              <w:right w:val="single" w:sz="6" w:color="C7D7E7"/>
              <w:bottom w:val="single" w:sz="6" w:color="C7D7E7"/>
            </w:tcBorders>
          </w:tcPr>
          <w:p>
            <w:pPr>
              <w:spacing w:before="40" w:after="40" w:line="269" w:lineRule="auto"/>
            </w:pPr>
            <w:r>
              <w:rPr>
                <w:rFonts w:ascii="Noto Sans CJK SC" w:hAnsi="Noto Sans CJK SC" w:eastAsia="Noto Sans CJK SC" w:cs="Noto Sans CJK SC"/>
                <w:sz w:val="20"/>
              </w:rPr>
              <w:t>第 j 个质量项在该样本上的可恢复空间。</w:t>
            </w:r>
          </w:p>
        </w:tc>
      </w:tr>
      <w:tr>
        <w:tc>
          <w:tcPr>
            <w:tcW w:type="dxa" w:w="2268"/>
            <w:vAlign w:val="center"/>
            <w:tcMar>
              <w:top w:w="120" w:type="dxa"/>
              <w:start w:w="140" w:type="dxa"/>
              <w:bottom w:w="120" w:type="dxa"/>
              <w:end w:w="140" w:type="dxa"/>
            </w:tcMar>
            <w:tcBorders>
              <w:left w:val="single" w:sz="6" w:color="C7D7E7"/>
              <w:top w:val="single" w:sz="6" w:color="C7D7E7"/>
              <w:right w:val="single" w:sz="6" w:color="C7D7E7"/>
              <w:bottom w:val="single" w:sz="6" w:color="C7D7E7"/>
            </w:tcBorders>
          </w:tcPr>
          <w:p>
            <w:pPr>
              <w:spacing w:before="40" w:after="40" w:line="269" w:lineRule="auto"/>
            </w:pPr>
            <w:r>
              <w:rPr>
                <w:rFonts w:ascii="Noto Sans CJK SC" w:hAnsi="Noto Sans CJK SC" w:eastAsia="Noto Sans CJK SC" w:cs="Noto Sans CJK SC"/>
                <w:sz w:val="20"/>
              </w:rPr>
              <w:t>g_j(x,τ)</w:t>
            </w:r>
          </w:p>
        </w:tc>
        <w:tc>
          <w:tcPr>
            <w:tcW w:type="dxa" w:w="6406"/>
            <w:vAlign w:val="center"/>
            <w:tcMar>
              <w:top w:w="120" w:type="dxa"/>
              <w:start w:w="140" w:type="dxa"/>
              <w:bottom w:w="120" w:type="dxa"/>
              <w:end w:w="140" w:type="dxa"/>
            </w:tcMar>
            <w:tcBorders>
              <w:left w:val="single" w:sz="6" w:color="C7D7E7"/>
              <w:top w:val="single" w:sz="6" w:color="C7D7E7"/>
              <w:right w:val="single" w:sz="6" w:color="C7D7E7"/>
              <w:bottom w:val="single" w:sz="6" w:color="C7D7E7"/>
            </w:tcBorders>
          </w:tcPr>
          <w:p>
            <w:pPr>
              <w:spacing w:before="40" w:after="40" w:line="269" w:lineRule="auto"/>
            </w:pPr>
            <w:r>
              <w:rPr>
                <w:rFonts w:ascii="Noto Sans CJK SC" w:hAnsi="Noto Sans CJK SC" w:eastAsia="Noto Sans CJK SC" w:cs="Noto Sans CJK SC"/>
                <w:sz w:val="20"/>
              </w:rPr>
              <w:t>当前路径在第 j 个质量项上的归一化收益。</w:t>
            </w:r>
          </w:p>
        </w:tc>
      </w:tr>
      <w:tr>
        <w:tc>
          <w:tcPr>
            <w:tcW w:type="dxa" w:w="2268"/>
            <w:vAlign w:val="center"/>
            <w:tcMar>
              <w:top w:w="120" w:type="dxa"/>
              <w:start w:w="140" w:type="dxa"/>
              <w:bottom w:w="120" w:type="dxa"/>
              <w:end w:w="140" w:type="dxa"/>
            </w:tcMar>
            <w:tcBorders>
              <w:left w:val="single" w:sz="6" w:color="C7D7E7"/>
              <w:top w:val="single" w:sz="6" w:color="C7D7E7"/>
              <w:right w:val="single" w:sz="6" w:color="C7D7E7"/>
              <w:bottom w:val="single" w:sz="6" w:color="C7D7E7"/>
            </w:tcBorders>
          </w:tcPr>
          <w:p>
            <w:pPr>
              <w:spacing w:before="40" w:after="40" w:line="269" w:lineRule="auto"/>
            </w:pPr>
            <w:r>
              <w:rPr>
                <w:rFonts w:ascii="Noto Sans CJK SC" w:hAnsi="Noto Sans CJK SC" w:eastAsia="Noto Sans CJK SC" w:cs="Noto Sans CJK SC"/>
                <w:sz w:val="20"/>
              </w:rPr>
              <w:t>d_j(x)</w:t>
            </w:r>
          </w:p>
        </w:tc>
        <w:tc>
          <w:tcPr>
            <w:tcW w:type="dxa" w:w="6406"/>
            <w:vAlign w:val="center"/>
            <w:tcMar>
              <w:top w:w="120" w:type="dxa"/>
              <w:start w:w="140" w:type="dxa"/>
              <w:bottom w:w="120" w:type="dxa"/>
              <w:end w:w="140" w:type="dxa"/>
            </w:tcMar>
            <w:tcBorders>
              <w:left w:val="single" w:sz="6" w:color="C7D7E7"/>
              <w:top w:val="single" w:sz="6" w:color="C7D7E7"/>
              <w:right w:val="single" w:sz="6" w:color="C7D7E7"/>
              <w:bottom w:val="single" w:sz="6" w:color="C7D7E7"/>
            </w:tcBorders>
          </w:tcPr>
          <w:p>
            <w:pPr>
              <w:spacing w:before="40" w:after="40" w:line="269" w:lineRule="auto"/>
            </w:pPr>
            <w:r>
              <w:rPr>
                <w:rFonts w:ascii="Noto Sans CJK SC" w:hAnsi="Noto Sans CJK SC" w:eastAsia="Noto Sans CJK SC" w:cs="Noto Sans CJK SC"/>
                <w:sz w:val="20"/>
              </w:rPr>
              <w:t>由 gap 导出的样本难度权重。</w:t>
            </w:r>
          </w:p>
        </w:tc>
      </w:tr>
      <w:tr>
        <w:tc>
          <w:tcPr>
            <w:tcW w:type="dxa" w:w="2268"/>
            <w:vAlign w:val="center"/>
            <w:tcMar>
              <w:top w:w="120" w:type="dxa"/>
              <w:start w:w="140" w:type="dxa"/>
              <w:bottom w:w="120" w:type="dxa"/>
              <w:end w:w="140" w:type="dxa"/>
            </w:tcMar>
            <w:tcBorders>
              <w:left w:val="single" w:sz="6" w:color="C7D7E7"/>
              <w:top w:val="single" w:sz="6" w:color="C7D7E7"/>
              <w:right w:val="single" w:sz="6" w:color="C7D7E7"/>
              <w:bottom w:val="single" w:sz="6" w:color="C7D7E7"/>
            </w:tcBorders>
          </w:tcPr>
          <w:p>
            <w:pPr>
              <w:spacing w:before="40" w:after="40" w:line="269" w:lineRule="auto"/>
            </w:pPr>
            <w:r>
              <w:rPr>
                <w:rFonts w:ascii="Noto Sans CJK SC" w:hAnsi="Noto Sans CJK SC" w:eastAsia="Noto Sans CJK SC" w:cs="Noto Sans CJK SC"/>
                <w:sz w:val="20"/>
              </w:rPr>
              <w:t>C(τ)</w:t>
            </w:r>
          </w:p>
        </w:tc>
        <w:tc>
          <w:tcPr>
            <w:tcW w:type="dxa" w:w="6406"/>
            <w:vAlign w:val="center"/>
            <w:tcMar>
              <w:top w:w="120" w:type="dxa"/>
              <w:start w:w="140" w:type="dxa"/>
              <w:bottom w:w="120" w:type="dxa"/>
              <w:end w:w="140" w:type="dxa"/>
            </w:tcMar>
            <w:tcBorders>
              <w:left w:val="single" w:sz="6" w:color="C7D7E7"/>
              <w:top w:val="single" w:sz="6" w:color="C7D7E7"/>
              <w:right w:val="single" w:sz="6" w:color="C7D7E7"/>
              <w:bottom w:val="single" w:sz="6" w:color="C7D7E7"/>
            </w:tcBorders>
          </w:tcPr>
          <w:p>
            <w:pPr>
              <w:spacing w:before="40" w:after="40" w:line="269" w:lineRule="auto"/>
            </w:pPr>
            <w:r>
              <w:rPr>
                <w:rFonts w:ascii="Noto Sans CJK SC" w:hAnsi="Noto Sans CJK SC" w:eastAsia="Noto Sans CJK SC" w:cs="Noto Sans CJK SC"/>
                <w:sz w:val="20"/>
              </w:rPr>
              <w:t>归一化后的非线性计算成本。</w:t>
            </w:r>
          </w:p>
        </w:tc>
      </w:tr>
    </w:tbl>
    <w:sectPr w:rsidR="00FC693F" w:rsidRPr="0006063C" w:rsidSect="00034616">
      <w:pgSz w:w="12240" w:h="15840"/>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erif CJK SC" w:hAnsi="Noto Serif CJK SC" w:eastAsia="Noto Serif CJK SC"/>
      <w:color w:val="2828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2C6EA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2C6EA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SC" w:hAnsi="Noto Sans CJK SC" w:eastAsia="Noto Sans CJK SC"/>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