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4EBB" w14:textId="5C31D18D" w:rsidR="004B3AE8" w:rsidRPr="00D83479" w:rsidRDefault="004B3AE8" w:rsidP="00EF5634">
      <w:pPr>
        <w:jc w:val="center"/>
        <w:rPr>
          <w:rFonts w:ascii="Times New Roman" w:hAnsi="Times New Roman" w:cs="Times New Roman"/>
          <w:sz w:val="24"/>
          <w:szCs w:val="24"/>
        </w:rPr>
      </w:pPr>
      <w:r w:rsidRPr="00D83479">
        <w:rPr>
          <w:rFonts w:ascii="Times New Roman" w:hAnsi="Times New Roman" w:cs="Times New Roman"/>
          <w:sz w:val="24"/>
          <w:szCs w:val="24"/>
        </w:rPr>
        <w:t>Project One</w:t>
      </w:r>
    </w:p>
    <w:p w14:paraId="4CCCF0EE" w14:textId="77777777" w:rsidR="003D338E" w:rsidRDefault="00507100" w:rsidP="00B80758">
      <w:pPr>
        <w:spacing w:after="0" w:line="480" w:lineRule="auto"/>
        <w:ind w:firstLine="720"/>
        <w:rPr>
          <w:rFonts w:ascii="Times New Roman" w:hAnsi="Times New Roman" w:cs="Times New Roman"/>
          <w:sz w:val="24"/>
          <w:szCs w:val="24"/>
        </w:rPr>
      </w:pPr>
      <w:r w:rsidRPr="00D83479">
        <w:rPr>
          <w:rFonts w:ascii="Times New Roman" w:hAnsi="Times New Roman" w:cs="Times New Roman"/>
          <w:sz w:val="24"/>
          <w:szCs w:val="24"/>
        </w:rPr>
        <w:t>A manufacturing company located in Tijuana, Mexico is noticing an increase in defects of their welding process of electric boards and in the comp</w:t>
      </w:r>
      <w:r w:rsidR="00D83479" w:rsidRPr="00D83479">
        <w:rPr>
          <w:rFonts w:ascii="Times New Roman" w:hAnsi="Times New Roman" w:cs="Times New Roman"/>
          <w:sz w:val="24"/>
          <w:szCs w:val="24"/>
        </w:rPr>
        <w:t>onents named Thru-Holes</w:t>
      </w:r>
      <w:r w:rsidR="00D83479">
        <w:rPr>
          <w:rFonts w:ascii="Times New Roman" w:hAnsi="Times New Roman" w:cs="Times New Roman"/>
          <w:sz w:val="24"/>
          <w:szCs w:val="24"/>
        </w:rPr>
        <w:t xml:space="preserve"> after an increase in demand. The defects </w:t>
      </w:r>
      <w:r w:rsidR="008C3E4C">
        <w:rPr>
          <w:rFonts w:ascii="Times New Roman" w:hAnsi="Times New Roman" w:cs="Times New Roman"/>
          <w:sz w:val="24"/>
          <w:szCs w:val="24"/>
        </w:rPr>
        <w:t>include</w:t>
      </w:r>
      <w:r w:rsidR="00D83479">
        <w:rPr>
          <w:rFonts w:ascii="Times New Roman" w:hAnsi="Times New Roman" w:cs="Times New Roman"/>
          <w:sz w:val="24"/>
          <w:szCs w:val="24"/>
        </w:rPr>
        <w:t xml:space="preserve"> the solder bridge, missing components, </w:t>
      </w:r>
      <w:r w:rsidR="008C3E4C">
        <w:rPr>
          <w:rFonts w:ascii="Times New Roman" w:hAnsi="Times New Roman" w:cs="Times New Roman"/>
          <w:sz w:val="24"/>
          <w:szCs w:val="24"/>
        </w:rPr>
        <w:t xml:space="preserve">damaged components, lifted components, insufficient solder, and excessive solder. These defects are being discovered after the boards have gone through the final assembly process which requires increased costs, production hours, and specially qualified workers </w:t>
      </w:r>
      <w:proofErr w:type="gramStart"/>
      <w:r w:rsidR="008C3E4C">
        <w:rPr>
          <w:rFonts w:ascii="Times New Roman" w:hAnsi="Times New Roman" w:cs="Times New Roman"/>
          <w:sz w:val="24"/>
          <w:szCs w:val="24"/>
        </w:rPr>
        <w:t>in order to</w:t>
      </w:r>
      <w:proofErr w:type="gramEnd"/>
      <w:r w:rsidR="008C3E4C">
        <w:rPr>
          <w:rFonts w:ascii="Times New Roman" w:hAnsi="Times New Roman" w:cs="Times New Roman"/>
          <w:sz w:val="24"/>
          <w:szCs w:val="24"/>
        </w:rPr>
        <w:t xml:space="preserve"> correct the defects. </w:t>
      </w:r>
      <w:r w:rsidR="00D83479" w:rsidRPr="00D83479">
        <w:rPr>
          <w:rFonts w:ascii="Times New Roman" w:hAnsi="Times New Roman" w:cs="Times New Roman"/>
          <w:sz w:val="24"/>
          <w:szCs w:val="24"/>
        </w:rPr>
        <w:t xml:space="preserve">This manufacturing company </w:t>
      </w:r>
      <w:r w:rsidR="008C3E4C">
        <w:rPr>
          <w:rFonts w:ascii="Times New Roman" w:hAnsi="Times New Roman" w:cs="Times New Roman"/>
          <w:sz w:val="24"/>
          <w:szCs w:val="24"/>
        </w:rPr>
        <w:t xml:space="preserve">seeks </w:t>
      </w:r>
      <w:r w:rsidR="00D83479" w:rsidRPr="00D83479">
        <w:rPr>
          <w:rFonts w:ascii="Times New Roman" w:hAnsi="Times New Roman" w:cs="Times New Roman"/>
          <w:sz w:val="24"/>
          <w:szCs w:val="24"/>
        </w:rPr>
        <w:t>to comply with standards</w:t>
      </w:r>
      <w:r w:rsidR="008C3E4C">
        <w:rPr>
          <w:rFonts w:ascii="Times New Roman" w:hAnsi="Times New Roman" w:cs="Times New Roman"/>
          <w:sz w:val="24"/>
          <w:szCs w:val="24"/>
        </w:rPr>
        <w:t xml:space="preserve"> that were established by the IPC-A-610E which requires them to correct the defects before the release of their products. </w:t>
      </w:r>
    </w:p>
    <w:p w14:paraId="493FD571" w14:textId="1AAAC9F1" w:rsidR="003D338E" w:rsidRDefault="00662D52" w:rsidP="003D33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project has been requested to </w:t>
      </w:r>
      <w:r w:rsidR="00963311">
        <w:rPr>
          <w:rFonts w:ascii="Times New Roman" w:hAnsi="Times New Roman" w:cs="Times New Roman"/>
          <w:sz w:val="24"/>
          <w:szCs w:val="24"/>
        </w:rPr>
        <w:t xml:space="preserve">improve the defects with two outcomes including, “A 20% reduction in the defects generated during the welding process in the double production lines of the Manual Finish area. The second outcome is a 20% increase in the capacity of the three double production lines where electronic boards are processed, without the percentage of defects” (DAT475 Project Case Study, 2023). </w:t>
      </w:r>
    </w:p>
    <w:p w14:paraId="6EAF5840" w14:textId="1F521A1D" w:rsidR="003D338E" w:rsidRDefault="003D338E" w:rsidP="003D338E">
      <w:pPr>
        <w:spacing w:after="0" w:line="480" w:lineRule="auto"/>
        <w:ind w:firstLine="720"/>
        <w:rPr>
          <w:rFonts w:ascii="Times New Roman" w:hAnsi="Times New Roman" w:cs="Times New Roman"/>
          <w:sz w:val="24"/>
          <w:szCs w:val="24"/>
        </w:rPr>
      </w:pPr>
      <w:r w:rsidRPr="007269F2">
        <w:rPr>
          <w:rFonts w:ascii="Times New Roman" w:hAnsi="Times New Roman" w:cs="Times New Roman"/>
          <w:b/>
          <w:bCs/>
          <w:sz w:val="24"/>
          <w:szCs w:val="24"/>
        </w:rPr>
        <w:t>Problem Statement</w:t>
      </w:r>
      <w:r>
        <w:rPr>
          <w:rFonts w:ascii="Times New Roman" w:hAnsi="Times New Roman" w:cs="Times New Roman"/>
          <w:sz w:val="24"/>
          <w:szCs w:val="24"/>
        </w:rPr>
        <w:t>: In order</w:t>
      </w:r>
      <w:r w:rsidR="007269F2">
        <w:rPr>
          <w:rFonts w:ascii="Times New Roman" w:hAnsi="Times New Roman" w:cs="Times New Roman"/>
          <w:sz w:val="24"/>
          <w:szCs w:val="24"/>
        </w:rPr>
        <w:t xml:space="preserve"> for the manufacturing company</w:t>
      </w:r>
      <w:r>
        <w:rPr>
          <w:rFonts w:ascii="Times New Roman" w:hAnsi="Times New Roman" w:cs="Times New Roman"/>
          <w:sz w:val="24"/>
          <w:szCs w:val="24"/>
        </w:rPr>
        <w:t xml:space="preserve"> to decrease the </w:t>
      </w:r>
      <w:r w:rsidR="007269F2">
        <w:rPr>
          <w:rFonts w:ascii="Times New Roman" w:hAnsi="Times New Roman" w:cs="Times New Roman"/>
          <w:sz w:val="24"/>
          <w:szCs w:val="24"/>
        </w:rPr>
        <w:t>number</w:t>
      </w:r>
      <w:r>
        <w:rPr>
          <w:rFonts w:ascii="Times New Roman" w:hAnsi="Times New Roman" w:cs="Times New Roman"/>
          <w:sz w:val="24"/>
          <w:szCs w:val="24"/>
        </w:rPr>
        <w:t xml:space="preserve"> of defects </w:t>
      </w:r>
      <w:r w:rsidR="007269F2">
        <w:rPr>
          <w:rFonts w:ascii="Times New Roman" w:hAnsi="Times New Roman" w:cs="Times New Roman"/>
          <w:sz w:val="24"/>
          <w:szCs w:val="24"/>
        </w:rPr>
        <w:t xml:space="preserve">they are producing after the final assembly </w:t>
      </w:r>
      <w:proofErr w:type="gramStart"/>
      <w:r w:rsidR="007269F2">
        <w:rPr>
          <w:rFonts w:ascii="Times New Roman" w:hAnsi="Times New Roman" w:cs="Times New Roman"/>
          <w:sz w:val="24"/>
          <w:szCs w:val="24"/>
        </w:rPr>
        <w:t>process,</w:t>
      </w:r>
      <w:proofErr w:type="gramEnd"/>
      <w:r w:rsidR="007269F2">
        <w:rPr>
          <w:rFonts w:ascii="Times New Roman" w:hAnsi="Times New Roman" w:cs="Times New Roman"/>
          <w:sz w:val="24"/>
          <w:szCs w:val="24"/>
        </w:rPr>
        <w:t xml:space="preserve"> the organization must adhere to industry’s best standards by correcting the defects prior to their release. This entails a 20% reduction in defects produced from the welding process as well as a 20% increase in the capacity of the production line. By completing these improvements, the manufacturing company can enhance the product quality to decrease defects, increase organizational efficiency, and reduce costs. If not addressed, the defects will continue to </w:t>
      </w:r>
      <w:r w:rsidR="00C1146B">
        <w:rPr>
          <w:rFonts w:ascii="Times New Roman" w:hAnsi="Times New Roman" w:cs="Times New Roman"/>
          <w:sz w:val="24"/>
          <w:szCs w:val="24"/>
        </w:rPr>
        <w:t>increase,</w:t>
      </w:r>
      <w:r w:rsidR="007269F2">
        <w:rPr>
          <w:rFonts w:ascii="Times New Roman" w:hAnsi="Times New Roman" w:cs="Times New Roman"/>
          <w:sz w:val="24"/>
          <w:szCs w:val="24"/>
        </w:rPr>
        <w:t xml:space="preserve"> potentially leading to </w:t>
      </w:r>
      <w:proofErr w:type="gramStart"/>
      <w:r w:rsidR="007269F2">
        <w:rPr>
          <w:rFonts w:ascii="Times New Roman" w:hAnsi="Times New Roman" w:cs="Times New Roman"/>
          <w:sz w:val="24"/>
          <w:szCs w:val="24"/>
        </w:rPr>
        <w:t>loss</w:t>
      </w:r>
      <w:proofErr w:type="gramEnd"/>
      <w:r w:rsidR="007269F2">
        <w:rPr>
          <w:rFonts w:ascii="Times New Roman" w:hAnsi="Times New Roman" w:cs="Times New Roman"/>
          <w:sz w:val="24"/>
          <w:szCs w:val="24"/>
        </w:rPr>
        <w:t xml:space="preserve"> of sales and customers due to a reputation of producing poor quality products. </w:t>
      </w:r>
    </w:p>
    <w:p w14:paraId="7D017D9E" w14:textId="77777777" w:rsidR="00B04712" w:rsidRDefault="00B04712" w:rsidP="00F21565">
      <w:pPr>
        <w:spacing w:after="0" w:line="480" w:lineRule="auto"/>
        <w:rPr>
          <w:rFonts w:ascii="Times New Roman" w:hAnsi="Times New Roman" w:cs="Times New Roman"/>
          <w:b/>
          <w:bCs/>
          <w:sz w:val="24"/>
          <w:szCs w:val="24"/>
        </w:rPr>
      </w:pPr>
    </w:p>
    <w:p w14:paraId="6848E9C4" w14:textId="77777777" w:rsidR="00B04712" w:rsidRDefault="00B04712" w:rsidP="00F21565">
      <w:pPr>
        <w:spacing w:after="0" w:line="480" w:lineRule="auto"/>
        <w:rPr>
          <w:rFonts w:ascii="Times New Roman" w:hAnsi="Times New Roman" w:cs="Times New Roman"/>
          <w:b/>
          <w:bCs/>
          <w:sz w:val="24"/>
          <w:szCs w:val="24"/>
        </w:rPr>
      </w:pPr>
    </w:p>
    <w:p w14:paraId="7F6C7832" w14:textId="3D3D007F" w:rsidR="00F21565" w:rsidRPr="00F21565" w:rsidRDefault="00F21565" w:rsidP="00F21565">
      <w:pPr>
        <w:spacing w:after="0" w:line="480" w:lineRule="auto"/>
        <w:rPr>
          <w:rFonts w:ascii="Times New Roman" w:hAnsi="Times New Roman" w:cs="Times New Roman"/>
          <w:b/>
          <w:bCs/>
          <w:sz w:val="24"/>
          <w:szCs w:val="24"/>
        </w:rPr>
      </w:pPr>
      <w:r w:rsidRPr="00F21565">
        <w:rPr>
          <w:rFonts w:ascii="Times New Roman" w:hAnsi="Times New Roman" w:cs="Times New Roman"/>
          <w:b/>
          <w:bCs/>
          <w:sz w:val="24"/>
          <w:szCs w:val="24"/>
        </w:rPr>
        <w:lastRenderedPageBreak/>
        <w:t>Model: 595407-XXX-00</w:t>
      </w:r>
    </w:p>
    <w:p w14:paraId="6993033D" w14:textId="4B84101F" w:rsidR="00F21565" w:rsidRDefault="00F21565" w:rsidP="00F21565">
      <w:pPr>
        <w:spacing w:after="0" w:line="480" w:lineRule="auto"/>
        <w:rPr>
          <w:rFonts w:ascii="Times New Roman" w:hAnsi="Times New Roman" w:cs="Times New Roman"/>
          <w:sz w:val="24"/>
          <w:szCs w:val="24"/>
        </w:rPr>
      </w:pPr>
      <w:r>
        <w:rPr>
          <w:noProof/>
          <w14:ligatures w14:val="standardContextual"/>
        </w:rPr>
        <mc:AlternateContent>
          <mc:Choice Requires="cx1">
            <w:drawing>
              <wp:inline distT="0" distB="0" distL="0" distR="0" wp14:anchorId="246B4A9B" wp14:editId="6237D884">
                <wp:extent cx="5943600" cy="4370070"/>
                <wp:effectExtent l="0" t="0" r="0" b="11430"/>
                <wp:docPr id="1175202580" name="Chart 1">
                  <a:extLst xmlns:a="http://schemas.openxmlformats.org/drawingml/2006/main">
                    <a:ext uri="{FF2B5EF4-FFF2-40B4-BE49-F238E27FC236}">
                      <a16:creationId xmlns:a16="http://schemas.microsoft.com/office/drawing/2014/main" id="{F3FA32B9-5259-5648-C532-B23BAD57ACA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46B4A9B" wp14:editId="6237D884">
                <wp:extent cx="5943600" cy="4370070"/>
                <wp:effectExtent l="0" t="0" r="0" b="11430"/>
                <wp:docPr id="1175202580" name="Chart 1">
                  <a:extLst xmlns:a="http://schemas.openxmlformats.org/drawingml/2006/main">
                    <a:ext uri="{FF2B5EF4-FFF2-40B4-BE49-F238E27FC236}">
                      <a16:creationId xmlns:a16="http://schemas.microsoft.com/office/drawing/2014/main" id="{F3FA32B9-5259-5648-C532-B23BAD57ACA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75202580" name="Chart 1">
                          <a:extLst>
                            <a:ext uri="{FF2B5EF4-FFF2-40B4-BE49-F238E27FC236}">
                              <a16:creationId xmlns:a16="http://schemas.microsoft.com/office/drawing/2014/main" id="{F3FA32B9-5259-5648-C532-B23BAD57ACA8}"/>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4370070"/>
                        </a:xfrm>
                        <a:prstGeom prst="rect">
                          <a:avLst/>
                        </a:prstGeom>
                      </pic:spPr>
                    </pic:pic>
                  </a:graphicData>
                </a:graphic>
              </wp:inline>
            </w:drawing>
          </mc:Fallback>
        </mc:AlternateContent>
      </w:r>
    </w:p>
    <w:p w14:paraId="17E4A4C3" w14:textId="31B73E08" w:rsidR="003D338E" w:rsidRDefault="003D338E" w:rsidP="003D338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14B19">
        <w:rPr>
          <w:rFonts w:ascii="Times New Roman" w:hAnsi="Times New Roman" w:cs="Times New Roman"/>
          <w:sz w:val="24"/>
          <w:szCs w:val="24"/>
        </w:rPr>
        <w:tab/>
      </w:r>
      <w:r w:rsidR="00F21565">
        <w:rPr>
          <w:rFonts w:ascii="Times New Roman" w:hAnsi="Times New Roman" w:cs="Times New Roman"/>
          <w:sz w:val="24"/>
          <w:szCs w:val="24"/>
        </w:rPr>
        <w:t xml:space="preserve">This model </w:t>
      </w:r>
      <w:r w:rsidR="00E14B19">
        <w:rPr>
          <w:rFonts w:ascii="Times New Roman" w:hAnsi="Times New Roman" w:cs="Times New Roman"/>
          <w:sz w:val="24"/>
          <w:szCs w:val="24"/>
        </w:rPr>
        <w:t xml:space="preserve">portrays the number of defects in blue and the orange line represents the cumulative percentage of the number of defects. </w:t>
      </w:r>
      <w:r w:rsidR="00EA3C9A">
        <w:rPr>
          <w:rFonts w:ascii="Times New Roman" w:hAnsi="Times New Roman" w:cs="Times New Roman"/>
          <w:sz w:val="24"/>
          <w:szCs w:val="24"/>
        </w:rPr>
        <w:t xml:space="preserve">The top 20% of defects in this model are solder bridge, missing component, lifted component, and damaged component. The defect types: component broken, pin hole, and long terminals have 0 defects. </w:t>
      </w:r>
    </w:p>
    <w:p w14:paraId="051FC70A" w14:textId="77777777" w:rsidR="00EA3C9A" w:rsidRDefault="00EA3C9A" w:rsidP="003D338E">
      <w:pPr>
        <w:spacing w:after="0" w:line="480" w:lineRule="auto"/>
        <w:rPr>
          <w:rFonts w:ascii="Times New Roman" w:hAnsi="Times New Roman" w:cs="Times New Roman"/>
          <w:b/>
          <w:bCs/>
          <w:sz w:val="24"/>
          <w:szCs w:val="24"/>
        </w:rPr>
      </w:pPr>
    </w:p>
    <w:p w14:paraId="155321DC" w14:textId="77777777" w:rsidR="00EA3C9A" w:rsidRDefault="00EA3C9A" w:rsidP="003D338E">
      <w:pPr>
        <w:spacing w:after="0" w:line="480" w:lineRule="auto"/>
        <w:rPr>
          <w:rFonts w:ascii="Times New Roman" w:hAnsi="Times New Roman" w:cs="Times New Roman"/>
          <w:b/>
          <w:bCs/>
          <w:sz w:val="24"/>
          <w:szCs w:val="24"/>
        </w:rPr>
      </w:pPr>
    </w:p>
    <w:p w14:paraId="7FF3547F" w14:textId="77777777" w:rsidR="00EA3C9A" w:rsidRDefault="00EA3C9A" w:rsidP="003D338E">
      <w:pPr>
        <w:spacing w:after="0" w:line="480" w:lineRule="auto"/>
        <w:rPr>
          <w:rFonts w:ascii="Times New Roman" w:hAnsi="Times New Roman" w:cs="Times New Roman"/>
          <w:b/>
          <w:bCs/>
          <w:sz w:val="24"/>
          <w:szCs w:val="24"/>
        </w:rPr>
      </w:pPr>
    </w:p>
    <w:p w14:paraId="7EFAABF8" w14:textId="77777777" w:rsidR="00EA3C9A" w:rsidRDefault="00EA3C9A" w:rsidP="003D338E">
      <w:pPr>
        <w:spacing w:after="0" w:line="480" w:lineRule="auto"/>
        <w:rPr>
          <w:rFonts w:ascii="Times New Roman" w:hAnsi="Times New Roman" w:cs="Times New Roman"/>
          <w:b/>
          <w:bCs/>
          <w:sz w:val="24"/>
          <w:szCs w:val="24"/>
        </w:rPr>
      </w:pPr>
    </w:p>
    <w:p w14:paraId="44FBED2F" w14:textId="77777777" w:rsidR="00EA3C9A" w:rsidRDefault="00EA3C9A" w:rsidP="003D338E">
      <w:pPr>
        <w:spacing w:after="0" w:line="480" w:lineRule="auto"/>
        <w:rPr>
          <w:rFonts w:ascii="Times New Roman" w:hAnsi="Times New Roman" w:cs="Times New Roman"/>
          <w:b/>
          <w:bCs/>
          <w:sz w:val="24"/>
          <w:szCs w:val="24"/>
        </w:rPr>
      </w:pPr>
    </w:p>
    <w:p w14:paraId="508997E8" w14:textId="71A43E6E" w:rsidR="00F21565" w:rsidRPr="00B04712" w:rsidRDefault="00F21565" w:rsidP="003D338E">
      <w:pPr>
        <w:spacing w:after="0" w:line="480" w:lineRule="auto"/>
        <w:rPr>
          <w:rFonts w:ascii="Times New Roman" w:hAnsi="Times New Roman" w:cs="Times New Roman"/>
          <w:b/>
          <w:bCs/>
          <w:sz w:val="24"/>
          <w:szCs w:val="24"/>
        </w:rPr>
      </w:pPr>
      <w:r w:rsidRPr="00B04712">
        <w:rPr>
          <w:rFonts w:ascii="Times New Roman" w:hAnsi="Times New Roman" w:cs="Times New Roman"/>
          <w:b/>
          <w:bCs/>
          <w:sz w:val="24"/>
          <w:szCs w:val="24"/>
        </w:rPr>
        <w:lastRenderedPageBreak/>
        <w:t xml:space="preserve">Model: </w:t>
      </w:r>
      <w:r w:rsidR="00B04712" w:rsidRPr="00B04712">
        <w:rPr>
          <w:rFonts w:ascii="Times New Roman" w:hAnsi="Times New Roman" w:cs="Times New Roman"/>
          <w:b/>
          <w:bCs/>
          <w:sz w:val="24"/>
          <w:szCs w:val="24"/>
        </w:rPr>
        <w:t>595481-00X-00</w:t>
      </w:r>
    </w:p>
    <w:p w14:paraId="5A6DAAB2" w14:textId="0AF33F19" w:rsidR="00F21565" w:rsidRDefault="00F21565" w:rsidP="003D338E">
      <w:pPr>
        <w:spacing w:after="0" w:line="480" w:lineRule="auto"/>
        <w:rPr>
          <w:rFonts w:ascii="Times New Roman" w:hAnsi="Times New Roman" w:cs="Times New Roman"/>
          <w:sz w:val="24"/>
          <w:szCs w:val="24"/>
        </w:rPr>
      </w:pPr>
      <w:r>
        <w:rPr>
          <w:noProof/>
          <w14:ligatures w14:val="standardContextual"/>
        </w:rPr>
        <mc:AlternateContent>
          <mc:Choice Requires="cx1">
            <w:drawing>
              <wp:inline distT="0" distB="0" distL="0" distR="0" wp14:anchorId="30C857E2" wp14:editId="6C0EF3B9">
                <wp:extent cx="6143625" cy="4191000"/>
                <wp:effectExtent l="0" t="0" r="9525" b="0"/>
                <wp:docPr id="837747318" name="Chart 1">
                  <a:extLst xmlns:a="http://schemas.openxmlformats.org/drawingml/2006/main">
                    <a:ext uri="{FF2B5EF4-FFF2-40B4-BE49-F238E27FC236}">
                      <a16:creationId xmlns:a16="http://schemas.microsoft.com/office/drawing/2014/main" id="{B8A70FEF-6AF9-8762-A39F-0C1921591A9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0C857E2" wp14:editId="6C0EF3B9">
                <wp:extent cx="6143625" cy="4191000"/>
                <wp:effectExtent l="0" t="0" r="9525" b="0"/>
                <wp:docPr id="837747318" name="Chart 1">
                  <a:extLst xmlns:a="http://schemas.openxmlformats.org/drawingml/2006/main">
                    <a:ext uri="{FF2B5EF4-FFF2-40B4-BE49-F238E27FC236}">
                      <a16:creationId xmlns:a16="http://schemas.microsoft.com/office/drawing/2014/main" id="{B8A70FEF-6AF9-8762-A39F-0C1921591A9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37747318" name="Chart 1">
                          <a:extLst>
                            <a:ext uri="{FF2B5EF4-FFF2-40B4-BE49-F238E27FC236}">
                              <a16:creationId xmlns:a16="http://schemas.microsoft.com/office/drawing/2014/main" id="{B8A70FEF-6AF9-8762-A39F-0C1921591A98}"/>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143625" cy="4191000"/>
                        </a:xfrm>
                        <a:prstGeom prst="rect">
                          <a:avLst/>
                        </a:prstGeom>
                      </pic:spPr>
                    </pic:pic>
                  </a:graphicData>
                </a:graphic>
              </wp:inline>
            </w:drawing>
          </mc:Fallback>
        </mc:AlternateContent>
      </w:r>
    </w:p>
    <w:p w14:paraId="3152BC7E" w14:textId="6FE43C61" w:rsidR="00B04712" w:rsidRDefault="00EA3C9A" w:rsidP="003D338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number of defects in the chart for this model are displayed in blue and the cumulative average is in orange. The top 20% of defects in this model are solder bridge, lifted component, wrong component, pin damaged, missing component, excessive solder, reversed component, damaged component, and insufficient solder. The defect types with 0 defects are component misalignment, pin hole, long terminals. </w:t>
      </w:r>
    </w:p>
    <w:p w14:paraId="0D117B50" w14:textId="77777777" w:rsidR="00EA3C9A" w:rsidRDefault="00EA3C9A" w:rsidP="003D338E">
      <w:pPr>
        <w:spacing w:after="0" w:line="480" w:lineRule="auto"/>
        <w:rPr>
          <w:rFonts w:ascii="Times New Roman" w:hAnsi="Times New Roman" w:cs="Times New Roman"/>
          <w:b/>
          <w:bCs/>
          <w:sz w:val="24"/>
          <w:szCs w:val="24"/>
        </w:rPr>
      </w:pPr>
    </w:p>
    <w:p w14:paraId="0B0FF656" w14:textId="77777777" w:rsidR="00EA3C9A" w:rsidRDefault="00EA3C9A" w:rsidP="003D338E">
      <w:pPr>
        <w:spacing w:after="0" w:line="480" w:lineRule="auto"/>
        <w:rPr>
          <w:rFonts w:ascii="Times New Roman" w:hAnsi="Times New Roman" w:cs="Times New Roman"/>
          <w:b/>
          <w:bCs/>
          <w:sz w:val="24"/>
          <w:szCs w:val="24"/>
        </w:rPr>
      </w:pPr>
    </w:p>
    <w:p w14:paraId="43147A8C" w14:textId="77777777" w:rsidR="00EA3C9A" w:rsidRDefault="00EA3C9A" w:rsidP="003D338E">
      <w:pPr>
        <w:spacing w:after="0" w:line="480" w:lineRule="auto"/>
        <w:rPr>
          <w:rFonts w:ascii="Times New Roman" w:hAnsi="Times New Roman" w:cs="Times New Roman"/>
          <w:b/>
          <w:bCs/>
          <w:sz w:val="24"/>
          <w:szCs w:val="24"/>
        </w:rPr>
      </w:pPr>
    </w:p>
    <w:p w14:paraId="4D4E58D5" w14:textId="77777777" w:rsidR="00EA3C9A" w:rsidRDefault="00EA3C9A" w:rsidP="003D338E">
      <w:pPr>
        <w:spacing w:after="0" w:line="480" w:lineRule="auto"/>
        <w:rPr>
          <w:rFonts w:ascii="Times New Roman" w:hAnsi="Times New Roman" w:cs="Times New Roman"/>
          <w:b/>
          <w:bCs/>
          <w:sz w:val="24"/>
          <w:szCs w:val="24"/>
        </w:rPr>
      </w:pPr>
    </w:p>
    <w:p w14:paraId="53F77DA6" w14:textId="77777777" w:rsidR="00EA3C9A" w:rsidRDefault="00EA3C9A" w:rsidP="003D338E">
      <w:pPr>
        <w:spacing w:after="0" w:line="480" w:lineRule="auto"/>
        <w:rPr>
          <w:rFonts w:ascii="Times New Roman" w:hAnsi="Times New Roman" w:cs="Times New Roman"/>
          <w:b/>
          <w:bCs/>
          <w:sz w:val="24"/>
          <w:szCs w:val="24"/>
        </w:rPr>
      </w:pPr>
    </w:p>
    <w:p w14:paraId="3D1AF01F" w14:textId="51B2D08C" w:rsidR="00B04712" w:rsidRPr="00B04712" w:rsidRDefault="00B04712" w:rsidP="003D338E">
      <w:pPr>
        <w:spacing w:after="0" w:line="480" w:lineRule="auto"/>
        <w:rPr>
          <w:rFonts w:ascii="Times New Roman" w:hAnsi="Times New Roman" w:cs="Times New Roman"/>
          <w:b/>
          <w:bCs/>
          <w:sz w:val="24"/>
          <w:szCs w:val="24"/>
        </w:rPr>
      </w:pPr>
      <w:r w:rsidRPr="00B04712">
        <w:rPr>
          <w:rFonts w:ascii="Times New Roman" w:hAnsi="Times New Roman" w:cs="Times New Roman"/>
          <w:b/>
          <w:bCs/>
          <w:sz w:val="24"/>
          <w:szCs w:val="24"/>
        </w:rPr>
        <w:lastRenderedPageBreak/>
        <w:t>Model: 595310-001-00</w:t>
      </w:r>
    </w:p>
    <w:p w14:paraId="2243538D" w14:textId="1F880C73" w:rsidR="00B04712" w:rsidRDefault="00B04712" w:rsidP="003D338E">
      <w:pPr>
        <w:spacing w:after="0" w:line="480" w:lineRule="auto"/>
        <w:rPr>
          <w:rFonts w:ascii="Times New Roman" w:hAnsi="Times New Roman" w:cs="Times New Roman"/>
          <w:sz w:val="24"/>
          <w:szCs w:val="24"/>
        </w:rPr>
      </w:pPr>
      <w:r>
        <w:rPr>
          <w:noProof/>
          <w14:ligatures w14:val="standardContextual"/>
        </w:rPr>
        <mc:AlternateContent>
          <mc:Choice Requires="cx1">
            <w:drawing>
              <wp:inline distT="0" distB="0" distL="0" distR="0" wp14:anchorId="41526D7F" wp14:editId="52ACA8BD">
                <wp:extent cx="6172200" cy="3838575"/>
                <wp:effectExtent l="0" t="0" r="0" b="9525"/>
                <wp:docPr id="2084947878" name="Chart 1">
                  <a:extLst xmlns:a="http://schemas.openxmlformats.org/drawingml/2006/main">
                    <a:ext uri="{FF2B5EF4-FFF2-40B4-BE49-F238E27FC236}">
                      <a16:creationId xmlns:a16="http://schemas.microsoft.com/office/drawing/2014/main" id="{F604E73A-C4F9-2581-FC51-94D21049D7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1526D7F" wp14:editId="52ACA8BD">
                <wp:extent cx="6172200" cy="3838575"/>
                <wp:effectExtent l="0" t="0" r="0" b="9525"/>
                <wp:docPr id="2084947878" name="Chart 1">
                  <a:extLst xmlns:a="http://schemas.openxmlformats.org/drawingml/2006/main">
                    <a:ext uri="{FF2B5EF4-FFF2-40B4-BE49-F238E27FC236}">
                      <a16:creationId xmlns:a16="http://schemas.microsoft.com/office/drawing/2014/main" id="{F604E73A-C4F9-2581-FC51-94D21049D7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84947878" name="Chart 1">
                          <a:extLst>
                            <a:ext uri="{FF2B5EF4-FFF2-40B4-BE49-F238E27FC236}">
                              <a16:creationId xmlns:a16="http://schemas.microsoft.com/office/drawing/2014/main" id="{F604E73A-C4F9-2581-FC51-94D21049D78F}"/>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6172200" cy="3838575"/>
                        </a:xfrm>
                        <a:prstGeom prst="rect">
                          <a:avLst/>
                        </a:prstGeom>
                      </pic:spPr>
                    </pic:pic>
                  </a:graphicData>
                </a:graphic>
              </wp:inline>
            </w:drawing>
          </mc:Fallback>
        </mc:AlternateContent>
      </w:r>
    </w:p>
    <w:p w14:paraId="7A8F8201" w14:textId="38E3F749" w:rsidR="00EA3C9A" w:rsidRDefault="00C1146B" w:rsidP="003D338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model also utilizes blue to portray the number of defects and orange to display the cumulative average. The top 20% of defect types in this model are excessive solder, solder bridge, damaged component, pin damaged, and missing component. The defect types with 0 defects in this model are billboarding, </w:t>
      </w:r>
      <w:r w:rsidR="00132592">
        <w:rPr>
          <w:rFonts w:ascii="Times New Roman" w:hAnsi="Times New Roman" w:cs="Times New Roman"/>
          <w:sz w:val="24"/>
          <w:szCs w:val="24"/>
        </w:rPr>
        <w:t xml:space="preserve">trace open, component broken, and long terminals. </w:t>
      </w:r>
    </w:p>
    <w:p w14:paraId="31AA0A70" w14:textId="08A28469" w:rsidR="00747BC8" w:rsidRDefault="00747BC8" w:rsidP="003D338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Each chart summarizes the top 20% of defects </w:t>
      </w:r>
      <w:r w:rsidR="00EE587E">
        <w:rPr>
          <w:rFonts w:ascii="Times New Roman" w:hAnsi="Times New Roman" w:cs="Times New Roman"/>
          <w:sz w:val="24"/>
          <w:szCs w:val="24"/>
        </w:rPr>
        <w:t>for</w:t>
      </w:r>
      <w:r>
        <w:rPr>
          <w:rFonts w:ascii="Times New Roman" w:hAnsi="Times New Roman" w:cs="Times New Roman"/>
          <w:sz w:val="24"/>
          <w:szCs w:val="24"/>
        </w:rPr>
        <w:t xml:space="preserve"> each of the three models. </w:t>
      </w:r>
      <w:r w:rsidR="00EE587E">
        <w:rPr>
          <w:rFonts w:ascii="Times New Roman" w:hAnsi="Times New Roman" w:cs="Times New Roman"/>
          <w:sz w:val="24"/>
          <w:szCs w:val="24"/>
        </w:rPr>
        <w:t xml:space="preserve">This provides insight into the root cause by comparing the 80/20 ratio to the defects, revealing that 80% of the defects stem from 20% of the causes. These charts offer a visual representation and enable us to prioritize the issues that, when addressed, can contribute to achieving the 20% defects in each area </w:t>
      </w:r>
      <w:r w:rsidR="00075A14">
        <w:rPr>
          <w:rFonts w:ascii="Times New Roman" w:hAnsi="Times New Roman" w:cs="Times New Roman"/>
          <w:sz w:val="24"/>
          <w:szCs w:val="24"/>
        </w:rPr>
        <w:t>in the facility as well</w:t>
      </w:r>
      <w:r w:rsidR="00EE587E">
        <w:rPr>
          <w:rFonts w:ascii="Times New Roman" w:hAnsi="Times New Roman" w:cs="Times New Roman"/>
          <w:sz w:val="24"/>
          <w:szCs w:val="24"/>
        </w:rPr>
        <w:t xml:space="preserve"> </w:t>
      </w:r>
      <w:r w:rsidR="00075A14">
        <w:rPr>
          <w:rFonts w:ascii="Times New Roman" w:hAnsi="Times New Roman" w:cs="Times New Roman"/>
          <w:sz w:val="24"/>
          <w:szCs w:val="24"/>
        </w:rPr>
        <w:t xml:space="preserve">as </w:t>
      </w:r>
      <w:r w:rsidR="00EE587E">
        <w:rPr>
          <w:rFonts w:ascii="Times New Roman" w:hAnsi="Times New Roman" w:cs="Times New Roman"/>
          <w:sz w:val="24"/>
          <w:szCs w:val="24"/>
        </w:rPr>
        <w:t>our second objective of a 20% increase in output production. We can use the list of defects in the top 20% for each model and overall to prioritize our efforts and focus on the ones with the most significant impact on the overall defect rate</w:t>
      </w:r>
      <w:r w:rsidR="00B86968">
        <w:rPr>
          <w:rFonts w:ascii="Times New Roman" w:hAnsi="Times New Roman" w:cs="Times New Roman"/>
          <w:sz w:val="24"/>
          <w:szCs w:val="24"/>
        </w:rPr>
        <w:t xml:space="preserve">. </w:t>
      </w:r>
      <w:r w:rsidR="00075A14">
        <w:rPr>
          <w:rFonts w:ascii="Times New Roman" w:hAnsi="Times New Roman" w:cs="Times New Roman"/>
          <w:sz w:val="24"/>
          <w:szCs w:val="24"/>
        </w:rPr>
        <w:t xml:space="preserve"> </w:t>
      </w:r>
    </w:p>
    <w:p w14:paraId="14B1081B" w14:textId="7AA5F22F" w:rsidR="00F943F9" w:rsidRDefault="005A0A1E" w:rsidP="003D338E">
      <w:pPr>
        <w:spacing w:after="0"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4B4900F7" wp14:editId="063AC883">
            <wp:extent cx="5943600" cy="3622675"/>
            <wp:effectExtent l="0" t="0" r="0" b="0"/>
            <wp:docPr id="1691133056" name="Picture 2" descr="A diagram of quality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3056" name="Picture 2" descr="A diagram of quality contro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45315952" w14:textId="797AA566" w:rsidR="00F943F9" w:rsidRDefault="005A0A1E" w:rsidP="003D338E">
      <w:pPr>
        <w:spacing w:after="0" w:line="480" w:lineRule="auto"/>
        <w:rPr>
          <w:rFonts w:ascii="Times New Roman" w:hAnsi="Times New Roman" w:cs="Times New Roman"/>
          <w:sz w:val="24"/>
          <w:szCs w:val="24"/>
        </w:rPr>
      </w:pPr>
      <w:r>
        <w:rPr>
          <w:rFonts w:ascii="Times New Roman" w:hAnsi="Times New Roman" w:cs="Times New Roman"/>
          <w:sz w:val="24"/>
          <w:szCs w:val="24"/>
        </w:rPr>
        <w:tab/>
        <w:t>The fishbone diagram illustrates potential issues that are contributing to the root cause of the product defects. It is possible the defects are a result of human error characterized by improper training and insufficient personnel. The facility may not have enough workers to fulfill the influx of orders and is providing minimal training to get employees work</w:t>
      </w:r>
      <w:r w:rsidR="0003439E">
        <w:rPr>
          <w:rFonts w:ascii="Times New Roman" w:hAnsi="Times New Roman" w:cs="Times New Roman"/>
          <w:sz w:val="24"/>
          <w:szCs w:val="24"/>
        </w:rPr>
        <w:t>ing</w:t>
      </w:r>
      <w:r>
        <w:rPr>
          <w:rFonts w:ascii="Times New Roman" w:hAnsi="Times New Roman" w:cs="Times New Roman"/>
          <w:sz w:val="24"/>
          <w:szCs w:val="24"/>
        </w:rPr>
        <w:t xml:space="preserve"> as soon as possible. </w:t>
      </w:r>
      <w:r w:rsidR="0003439E">
        <w:rPr>
          <w:rFonts w:ascii="Times New Roman" w:hAnsi="Times New Roman" w:cs="Times New Roman"/>
          <w:sz w:val="24"/>
          <w:szCs w:val="24"/>
        </w:rPr>
        <w:t xml:space="preserve">Additionally, the facility may be utilizing equipment that is inappropriate or even broken to create the products. The facility may not want to allocate time to provide maintenance to the equipment so it will not fall behind target production numbers. </w:t>
      </w:r>
    </w:p>
    <w:p w14:paraId="2D0E01CB" w14:textId="556E4E96" w:rsidR="0003439E" w:rsidRDefault="0003439E" w:rsidP="003D338E">
      <w:pPr>
        <w:spacing w:after="0" w:line="480" w:lineRule="auto"/>
        <w:rPr>
          <w:rFonts w:ascii="Times New Roman" w:hAnsi="Times New Roman" w:cs="Times New Roman"/>
          <w:sz w:val="24"/>
          <w:szCs w:val="24"/>
        </w:rPr>
      </w:pPr>
      <w:r>
        <w:rPr>
          <w:rFonts w:ascii="Times New Roman" w:hAnsi="Times New Roman" w:cs="Times New Roman"/>
          <w:sz w:val="24"/>
          <w:szCs w:val="24"/>
        </w:rPr>
        <w:tab/>
        <w:t>The quality of the products may also be lacking due to poor sample check frequency, no End-Of-Line (EOL) tester, no automation inspections, or appropriately adhering to the policies in the Standard IPC-A-610E. The facility may not be utilizing an employee or a machine to test each product before sending it to the next step or prior to the final phase in production.</w:t>
      </w:r>
      <w:r w:rsidR="00822CC3">
        <w:rPr>
          <w:rFonts w:ascii="Times New Roman" w:hAnsi="Times New Roman" w:cs="Times New Roman"/>
          <w:sz w:val="24"/>
          <w:szCs w:val="24"/>
        </w:rPr>
        <w:t xml:space="preserve"> There may also be issues during the process such as mishandling of the product, poor solder machine calibration, and hasty individual takt times. It is possible that the workers are moving too quickly </w:t>
      </w:r>
      <w:r w:rsidR="00822CC3">
        <w:rPr>
          <w:rFonts w:ascii="Times New Roman" w:hAnsi="Times New Roman" w:cs="Times New Roman"/>
          <w:sz w:val="24"/>
          <w:szCs w:val="24"/>
        </w:rPr>
        <w:lastRenderedPageBreak/>
        <w:t xml:space="preserve">to decrease their individual takt times and complete orders rapidly. This can lead to not handling the products carefully which can cause many defects. Additionally, if the solder machine is poorly calibrated, it can produce issues such as insufficient or excessive soldering. </w:t>
      </w:r>
      <w:r w:rsidR="00875A63">
        <w:rPr>
          <w:rFonts w:ascii="Times New Roman" w:hAnsi="Times New Roman" w:cs="Times New Roman"/>
          <w:sz w:val="24"/>
          <w:szCs w:val="24"/>
        </w:rPr>
        <w:t>Overal</w:t>
      </w:r>
      <w:r w:rsidR="0005798B">
        <w:rPr>
          <w:rFonts w:ascii="Times New Roman" w:hAnsi="Times New Roman" w:cs="Times New Roman"/>
          <w:sz w:val="24"/>
          <w:szCs w:val="24"/>
        </w:rPr>
        <w:t xml:space="preserve">l, by understanding the root cause, we can address the core issues of the defects and make more effective and sustainable improvements. </w:t>
      </w:r>
    </w:p>
    <w:p w14:paraId="68DD4322" w14:textId="0523DDC7" w:rsidR="00EF5634" w:rsidRDefault="00EF5634" w:rsidP="00EF563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Tableau Dashboard</w:t>
      </w:r>
    </w:p>
    <w:p w14:paraId="2E4D7D04" w14:textId="18A4D766" w:rsidR="00EF5634" w:rsidRDefault="00EF5634" w:rsidP="00EF5634">
      <w:pPr>
        <w:spacing w:after="0" w:line="480" w:lineRule="auto"/>
        <w:jc w:val="center"/>
        <w:rPr>
          <w:rFonts w:ascii="Times New Roman" w:hAnsi="Times New Roman" w:cs="Times New Roman"/>
          <w:sz w:val="24"/>
          <w:szCs w:val="24"/>
        </w:rPr>
      </w:pPr>
      <w:r>
        <w:rPr>
          <w:noProof/>
          <w14:ligatures w14:val="standardContextual"/>
        </w:rPr>
        <w:drawing>
          <wp:inline distT="0" distB="0" distL="0" distR="0" wp14:anchorId="06E83009" wp14:editId="3CC54709">
            <wp:extent cx="5943600" cy="4739005"/>
            <wp:effectExtent l="0" t="0" r="0" b="4445"/>
            <wp:docPr id="9" name="Content Placeholder 8" descr="A screenshot of a computer&#10;&#10;Description automatically generated">
              <a:extLst xmlns:a="http://schemas.openxmlformats.org/drawingml/2006/main">
                <a:ext uri="{FF2B5EF4-FFF2-40B4-BE49-F238E27FC236}">
                  <a16:creationId xmlns:a16="http://schemas.microsoft.com/office/drawing/2014/main" id="{DA3B54D9-CDF2-368B-CBB7-B6036827EE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computer&#10;&#10;Description automatically generated">
                      <a:extLst>
                        <a:ext uri="{FF2B5EF4-FFF2-40B4-BE49-F238E27FC236}">
                          <a16:creationId xmlns:a16="http://schemas.microsoft.com/office/drawing/2014/main" id="{DA3B54D9-CDF2-368B-CBB7-B6036827EEB6}"/>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p>
    <w:p w14:paraId="30678F35" w14:textId="54533A62" w:rsidR="00EF5634" w:rsidRPr="00EF5634" w:rsidRDefault="00EF5634" w:rsidP="00EF5634">
      <w:pPr>
        <w:spacing w:after="0" w:line="480" w:lineRule="auto"/>
        <w:ind w:firstLine="720"/>
        <w:rPr>
          <w:rFonts w:ascii="Times New Roman" w:hAnsi="Times New Roman" w:cs="Times New Roman"/>
          <w:sz w:val="24"/>
          <w:szCs w:val="24"/>
        </w:rPr>
      </w:pPr>
      <w:r w:rsidRPr="00EF5634">
        <w:rPr>
          <w:rFonts w:ascii="Times New Roman" w:hAnsi="Times New Roman" w:cs="Times New Roman"/>
          <w:sz w:val="24"/>
          <w:szCs w:val="24"/>
        </w:rPr>
        <w:t xml:space="preserve">This interactive dashboard, created using Tableau, provides a comprehensive view of the defect type sum versus the percentage, the overall percentage of defect type, and the defect type percentage per model. The labels are on the right-hand side showing the percentage is grey and </w:t>
      </w:r>
      <w:r w:rsidRPr="00EF5634">
        <w:rPr>
          <w:rFonts w:ascii="Times New Roman" w:hAnsi="Times New Roman" w:cs="Times New Roman"/>
          <w:sz w:val="24"/>
          <w:szCs w:val="24"/>
        </w:rPr>
        <w:lastRenderedPageBreak/>
        <w:t>the lightest color blue signifies a lower sum of defects while the darker shade signifies a large</w:t>
      </w:r>
      <w:r>
        <w:rPr>
          <w:rFonts w:ascii="Times New Roman" w:hAnsi="Times New Roman" w:cs="Times New Roman"/>
          <w:sz w:val="24"/>
          <w:szCs w:val="24"/>
        </w:rPr>
        <w:t xml:space="preserve"> </w:t>
      </w:r>
      <w:r w:rsidRPr="00EF5634">
        <w:rPr>
          <w:rFonts w:ascii="Times New Roman" w:hAnsi="Times New Roman" w:cs="Times New Roman"/>
          <w:sz w:val="24"/>
          <w:szCs w:val="24"/>
        </w:rPr>
        <w:t xml:space="preserve">sum of defects. </w:t>
      </w:r>
    </w:p>
    <w:p w14:paraId="0FEDA18C" w14:textId="77777777" w:rsidR="00EF5634" w:rsidRPr="00EF5634" w:rsidRDefault="00EF5634" w:rsidP="00EF5634">
      <w:pPr>
        <w:spacing w:after="0" w:line="480" w:lineRule="auto"/>
        <w:ind w:firstLine="720"/>
        <w:rPr>
          <w:rFonts w:ascii="Times New Roman" w:hAnsi="Times New Roman" w:cs="Times New Roman"/>
          <w:sz w:val="24"/>
          <w:szCs w:val="24"/>
        </w:rPr>
      </w:pPr>
      <w:r w:rsidRPr="00EF5634">
        <w:rPr>
          <w:rFonts w:ascii="Times New Roman" w:hAnsi="Times New Roman" w:cs="Times New Roman"/>
          <w:sz w:val="24"/>
          <w:szCs w:val="24"/>
        </w:rPr>
        <w:t xml:space="preserve">The top portion portrays the effect type per model in a bar graph. The sum of defects is in a shade of blue and the percentage is in grey. The black line signifies the average percentage. The pie chart in bottom left corner displays the average percentage of each defect type of all three models. The bar graph next to it on the right shows the defect type percentage per model. </w:t>
      </w:r>
    </w:p>
    <w:p w14:paraId="5ECDD8D8" w14:textId="7E1606F5" w:rsidR="00EF5634" w:rsidRDefault="00EF5634" w:rsidP="00EF5634">
      <w:pPr>
        <w:spacing w:after="0" w:line="480" w:lineRule="auto"/>
        <w:rPr>
          <w:rFonts w:ascii="Times New Roman" w:hAnsi="Times New Roman" w:cs="Times New Roman"/>
          <w:sz w:val="24"/>
          <w:szCs w:val="24"/>
        </w:rPr>
      </w:pPr>
      <w:r w:rsidRPr="00EF5634">
        <w:rPr>
          <w:rFonts w:ascii="Times New Roman" w:hAnsi="Times New Roman" w:cs="Times New Roman"/>
          <w:sz w:val="24"/>
          <w:szCs w:val="24"/>
        </w:rPr>
        <w:t>Model 1 has a significantly higher percentage of defects compared to the other two models. The</w:t>
      </w:r>
      <w:r>
        <w:rPr>
          <w:rFonts w:ascii="Times New Roman" w:hAnsi="Times New Roman" w:cs="Times New Roman"/>
          <w:sz w:val="24"/>
          <w:szCs w:val="24"/>
        </w:rPr>
        <w:t xml:space="preserve"> </w:t>
      </w:r>
      <w:r w:rsidRPr="00EF5634">
        <w:rPr>
          <w:rFonts w:ascii="Times New Roman" w:hAnsi="Times New Roman" w:cs="Times New Roman"/>
          <w:sz w:val="24"/>
          <w:szCs w:val="24"/>
        </w:rPr>
        <w:t xml:space="preserve">defect type, solder bridge, makes up almost half the </w:t>
      </w:r>
      <w:r w:rsidRPr="00EF5634">
        <w:rPr>
          <w:rFonts w:ascii="Times New Roman" w:hAnsi="Times New Roman" w:cs="Times New Roman"/>
          <w:sz w:val="24"/>
          <w:szCs w:val="24"/>
        </w:rPr>
        <w:t>number</w:t>
      </w:r>
      <w:r w:rsidRPr="00EF5634">
        <w:rPr>
          <w:rFonts w:ascii="Times New Roman" w:hAnsi="Times New Roman" w:cs="Times New Roman"/>
          <w:sz w:val="24"/>
          <w:szCs w:val="24"/>
        </w:rPr>
        <w:t xml:space="preserve"> of defects at 43.9%. </w:t>
      </w:r>
    </w:p>
    <w:p w14:paraId="0844EEE8" w14:textId="77777777" w:rsidR="00EF5634" w:rsidRPr="00F633D8" w:rsidRDefault="00EF5634" w:rsidP="00EF5634">
      <w:pPr>
        <w:jc w:val="center"/>
        <w:rPr>
          <w:rFonts w:ascii="Times New Roman" w:hAnsi="Times New Roman" w:cs="Times New Roman"/>
          <w:sz w:val="24"/>
          <w:szCs w:val="24"/>
        </w:rPr>
      </w:pPr>
      <w:r w:rsidRPr="00F633D8">
        <w:rPr>
          <w:rFonts w:ascii="Times New Roman" w:hAnsi="Times New Roman" w:cs="Times New Roman"/>
          <w:sz w:val="24"/>
          <w:szCs w:val="24"/>
        </w:rPr>
        <w:t>Project Two</w:t>
      </w:r>
    </w:p>
    <w:p w14:paraId="578DEC68" w14:textId="77777777" w:rsidR="00EF5634" w:rsidRDefault="00EF5634" w:rsidP="00EF5634">
      <w:pPr>
        <w:spacing w:line="480" w:lineRule="auto"/>
        <w:ind w:firstLine="720"/>
        <w:rPr>
          <w:rFonts w:ascii="Times New Roman" w:hAnsi="Times New Roman" w:cs="Times New Roman"/>
          <w:sz w:val="24"/>
          <w:szCs w:val="24"/>
        </w:rPr>
      </w:pPr>
      <w:r w:rsidRPr="00F633D8">
        <w:rPr>
          <w:rFonts w:ascii="Times New Roman" w:hAnsi="Times New Roman" w:cs="Times New Roman"/>
          <w:sz w:val="24"/>
          <w:szCs w:val="24"/>
        </w:rPr>
        <w:t xml:space="preserve">A hypothesis test needs to be conducted </w:t>
      </w:r>
      <w:proofErr w:type="gramStart"/>
      <w:r w:rsidRPr="00F633D8">
        <w:rPr>
          <w:rFonts w:ascii="Times New Roman" w:hAnsi="Times New Roman" w:cs="Times New Roman"/>
          <w:sz w:val="24"/>
          <w:szCs w:val="24"/>
        </w:rPr>
        <w:t>in order to</w:t>
      </w:r>
      <w:proofErr w:type="gramEnd"/>
      <w:r w:rsidRPr="00F633D8">
        <w:rPr>
          <w:rFonts w:ascii="Times New Roman" w:hAnsi="Times New Roman" w:cs="Times New Roman"/>
          <w:sz w:val="24"/>
          <w:szCs w:val="24"/>
        </w:rPr>
        <w:t xml:space="preserve"> understand if there is a statistically significant difference in the percentage of defects in comparison to the other two production lines.</w:t>
      </w:r>
      <w:r>
        <w:rPr>
          <w:rFonts w:ascii="Times New Roman" w:hAnsi="Times New Roman" w:cs="Times New Roman"/>
          <w:sz w:val="24"/>
          <w:szCs w:val="24"/>
        </w:rPr>
        <w:t xml:space="preserve"> If a statistically significant difference does exist, it will indicate that the production lines with the highest number of defects should have those defects corrected.  We will use data from production with the highest number of defect percentage to conduct the hypothesis test. Our data is displayed in the table below:</w:t>
      </w:r>
    </w:p>
    <w:tbl>
      <w:tblPr>
        <w:tblStyle w:val="TableGrid"/>
        <w:tblW w:w="0" w:type="auto"/>
        <w:jc w:val="center"/>
        <w:tblLook w:val="04A0" w:firstRow="1" w:lastRow="0" w:firstColumn="1" w:lastColumn="0" w:noHBand="0" w:noVBand="1"/>
      </w:tblPr>
      <w:tblGrid>
        <w:gridCol w:w="1222"/>
        <w:gridCol w:w="1223"/>
        <w:gridCol w:w="1223"/>
      </w:tblGrid>
      <w:tr w:rsidR="00EF5634" w14:paraId="07D03350" w14:textId="77777777" w:rsidTr="00E60542">
        <w:trPr>
          <w:trHeight w:val="406"/>
          <w:jc w:val="center"/>
        </w:trPr>
        <w:tc>
          <w:tcPr>
            <w:tcW w:w="1222" w:type="dxa"/>
            <w:shd w:val="clear" w:color="auto" w:fill="F2F2F2" w:themeFill="background1" w:themeFillShade="F2"/>
            <w:vAlign w:val="center"/>
          </w:tcPr>
          <w:p w14:paraId="7AB33F79" w14:textId="77777777" w:rsidR="00EF5634" w:rsidRPr="003D2252" w:rsidRDefault="00EF5634" w:rsidP="00E60542">
            <w:pPr>
              <w:spacing w:line="480" w:lineRule="auto"/>
              <w:jc w:val="center"/>
              <w:rPr>
                <w:rFonts w:ascii="Times New Roman" w:hAnsi="Times New Roman" w:cs="Times New Roman"/>
                <w:b/>
                <w:bCs/>
                <w:sz w:val="24"/>
                <w:szCs w:val="24"/>
              </w:rPr>
            </w:pPr>
            <w:r w:rsidRPr="003D2252">
              <w:rPr>
                <w:rFonts w:ascii="Times New Roman" w:hAnsi="Times New Roman" w:cs="Times New Roman"/>
                <w:b/>
                <w:bCs/>
                <w:sz w:val="24"/>
                <w:szCs w:val="24"/>
              </w:rPr>
              <w:t>Model 1</w:t>
            </w:r>
          </w:p>
        </w:tc>
        <w:tc>
          <w:tcPr>
            <w:tcW w:w="1223" w:type="dxa"/>
            <w:shd w:val="clear" w:color="auto" w:fill="F2F2F2" w:themeFill="background1" w:themeFillShade="F2"/>
            <w:vAlign w:val="center"/>
          </w:tcPr>
          <w:p w14:paraId="49970229" w14:textId="77777777" w:rsidR="00EF5634" w:rsidRPr="003D2252" w:rsidRDefault="00EF5634" w:rsidP="00E60542">
            <w:pPr>
              <w:spacing w:line="480" w:lineRule="auto"/>
              <w:jc w:val="center"/>
              <w:rPr>
                <w:rFonts w:ascii="Times New Roman" w:hAnsi="Times New Roman" w:cs="Times New Roman"/>
                <w:b/>
                <w:bCs/>
                <w:sz w:val="24"/>
                <w:szCs w:val="24"/>
              </w:rPr>
            </w:pPr>
            <w:r w:rsidRPr="003D2252">
              <w:rPr>
                <w:rFonts w:ascii="Times New Roman" w:hAnsi="Times New Roman" w:cs="Times New Roman"/>
                <w:b/>
                <w:bCs/>
                <w:sz w:val="24"/>
                <w:szCs w:val="24"/>
              </w:rPr>
              <w:t>Model 2</w:t>
            </w:r>
          </w:p>
        </w:tc>
        <w:tc>
          <w:tcPr>
            <w:tcW w:w="1223" w:type="dxa"/>
            <w:shd w:val="clear" w:color="auto" w:fill="F2F2F2" w:themeFill="background1" w:themeFillShade="F2"/>
            <w:vAlign w:val="center"/>
          </w:tcPr>
          <w:p w14:paraId="413ACCD1" w14:textId="77777777" w:rsidR="00EF5634" w:rsidRPr="003D2252" w:rsidRDefault="00EF5634" w:rsidP="00E60542">
            <w:pPr>
              <w:spacing w:line="480" w:lineRule="auto"/>
              <w:jc w:val="center"/>
              <w:rPr>
                <w:rFonts w:ascii="Times New Roman" w:hAnsi="Times New Roman" w:cs="Times New Roman"/>
                <w:b/>
                <w:bCs/>
                <w:sz w:val="24"/>
                <w:szCs w:val="24"/>
              </w:rPr>
            </w:pPr>
            <w:r w:rsidRPr="003D2252">
              <w:rPr>
                <w:rFonts w:ascii="Times New Roman" w:hAnsi="Times New Roman" w:cs="Times New Roman"/>
                <w:b/>
                <w:bCs/>
                <w:sz w:val="24"/>
                <w:szCs w:val="24"/>
              </w:rPr>
              <w:t>Model 3</w:t>
            </w:r>
          </w:p>
        </w:tc>
      </w:tr>
      <w:tr w:rsidR="00EF5634" w14:paraId="773915F9" w14:textId="77777777" w:rsidTr="00E60542">
        <w:trPr>
          <w:trHeight w:val="417"/>
          <w:jc w:val="center"/>
        </w:trPr>
        <w:tc>
          <w:tcPr>
            <w:tcW w:w="1222" w:type="dxa"/>
            <w:vAlign w:val="center"/>
          </w:tcPr>
          <w:p w14:paraId="594D3F2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23" w:type="dxa"/>
            <w:vAlign w:val="center"/>
          </w:tcPr>
          <w:p w14:paraId="037DAD9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223" w:type="dxa"/>
            <w:vAlign w:val="center"/>
          </w:tcPr>
          <w:p w14:paraId="077A3B14"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7.23</w:t>
            </w:r>
          </w:p>
        </w:tc>
      </w:tr>
      <w:tr w:rsidR="00EF5634" w14:paraId="36EEA1C6" w14:textId="77777777" w:rsidTr="00E60542">
        <w:trPr>
          <w:trHeight w:val="406"/>
          <w:jc w:val="center"/>
        </w:trPr>
        <w:tc>
          <w:tcPr>
            <w:tcW w:w="1222" w:type="dxa"/>
            <w:vAlign w:val="center"/>
          </w:tcPr>
          <w:p w14:paraId="640CFBFF"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223" w:type="dxa"/>
            <w:vAlign w:val="center"/>
          </w:tcPr>
          <w:p w14:paraId="612C604B"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3.11</w:t>
            </w:r>
          </w:p>
        </w:tc>
        <w:tc>
          <w:tcPr>
            <w:tcW w:w="1223" w:type="dxa"/>
            <w:vAlign w:val="center"/>
          </w:tcPr>
          <w:p w14:paraId="7E770458"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3.37</w:t>
            </w:r>
          </w:p>
        </w:tc>
      </w:tr>
      <w:tr w:rsidR="00EF5634" w14:paraId="67ED2EC1" w14:textId="77777777" w:rsidTr="00E60542">
        <w:trPr>
          <w:trHeight w:val="417"/>
          <w:jc w:val="center"/>
        </w:trPr>
        <w:tc>
          <w:tcPr>
            <w:tcW w:w="1222" w:type="dxa"/>
            <w:vAlign w:val="center"/>
          </w:tcPr>
          <w:p w14:paraId="7BC101D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223" w:type="dxa"/>
            <w:vAlign w:val="center"/>
          </w:tcPr>
          <w:p w14:paraId="367192CB"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1223" w:type="dxa"/>
            <w:vAlign w:val="center"/>
          </w:tcPr>
          <w:p w14:paraId="3E193403"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2.77</w:t>
            </w:r>
          </w:p>
        </w:tc>
      </w:tr>
      <w:tr w:rsidR="00EF5634" w14:paraId="0C309D4E" w14:textId="77777777" w:rsidTr="00E60542">
        <w:trPr>
          <w:trHeight w:val="406"/>
          <w:jc w:val="center"/>
        </w:trPr>
        <w:tc>
          <w:tcPr>
            <w:tcW w:w="1222" w:type="dxa"/>
            <w:vAlign w:val="center"/>
          </w:tcPr>
          <w:p w14:paraId="11278FE3"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23" w:type="dxa"/>
            <w:vAlign w:val="center"/>
          </w:tcPr>
          <w:p w14:paraId="35C7AEEA"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223" w:type="dxa"/>
            <w:vAlign w:val="center"/>
          </w:tcPr>
          <w:p w14:paraId="488E0A5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1.93</w:t>
            </w:r>
          </w:p>
        </w:tc>
      </w:tr>
      <w:tr w:rsidR="00EF5634" w14:paraId="7DB751F7" w14:textId="77777777" w:rsidTr="00E60542">
        <w:trPr>
          <w:trHeight w:val="70"/>
          <w:jc w:val="center"/>
        </w:trPr>
        <w:tc>
          <w:tcPr>
            <w:tcW w:w="1222" w:type="dxa"/>
            <w:vAlign w:val="center"/>
          </w:tcPr>
          <w:p w14:paraId="400F750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23" w:type="dxa"/>
            <w:vAlign w:val="center"/>
          </w:tcPr>
          <w:p w14:paraId="2C0A6B03"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223" w:type="dxa"/>
            <w:vAlign w:val="center"/>
          </w:tcPr>
          <w:p w14:paraId="26B80C29"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7CD05F19" w14:textId="77777777" w:rsidR="00EF5634" w:rsidRDefault="00EF5634" w:rsidP="00EF5634">
      <w:pPr>
        <w:spacing w:line="480" w:lineRule="auto"/>
        <w:rPr>
          <w:rFonts w:ascii="Times New Roman" w:hAnsi="Times New Roman" w:cs="Times New Roman"/>
          <w:sz w:val="24"/>
          <w:szCs w:val="24"/>
        </w:rPr>
      </w:pPr>
    </w:p>
    <w:p w14:paraId="60DD3159" w14:textId="77777777" w:rsidR="00EF5634" w:rsidRDefault="00EF5634" w:rsidP="00EF5634">
      <w:pPr>
        <w:spacing w:line="480" w:lineRule="auto"/>
        <w:rPr>
          <w:rFonts w:ascii="Times New Roman" w:hAnsi="Times New Roman" w:cs="Times New Roman"/>
          <w:sz w:val="24"/>
          <w:szCs w:val="24"/>
        </w:rPr>
      </w:pPr>
      <w:r>
        <w:rPr>
          <w:rFonts w:ascii="Times New Roman" w:hAnsi="Times New Roman" w:cs="Times New Roman"/>
          <w:sz w:val="24"/>
          <w:szCs w:val="24"/>
        </w:rPr>
        <w:t>Defining the null and alternative hypothesis:</w:t>
      </w:r>
    </w:p>
    <w:p w14:paraId="20BB197F" w14:textId="77777777" w:rsidR="00EF5634" w:rsidRPr="00002CD7" w:rsidRDefault="00EF5634" w:rsidP="00EF5634">
      <w:pPr>
        <w:spacing w:line="480" w:lineRule="auto"/>
        <w:rPr>
          <w:rFonts w:ascii="Times New Roman" w:hAnsi="Times New Roman" w:cs="Times New Roman"/>
          <w:sz w:val="24"/>
          <w:szCs w:val="24"/>
        </w:rPr>
      </w:pPr>
      <w:r w:rsidRPr="00727B4B">
        <w:rPr>
          <w:rFonts w:ascii="Times New Roman" w:hAnsi="Times New Roman" w:cs="Times New Roman"/>
          <w:b/>
          <w:bCs/>
          <w:sz w:val="24"/>
          <w:szCs w:val="24"/>
        </w:rPr>
        <w:lastRenderedPageBreak/>
        <w:t>Null Hypothesis (H</w:t>
      </w:r>
      <w:r w:rsidRPr="00727B4B">
        <w:rPr>
          <w:rFonts w:ascii="Times New Roman" w:hAnsi="Times New Roman" w:cs="Times New Roman"/>
          <w:b/>
          <w:bCs/>
          <w:sz w:val="24"/>
          <w:szCs w:val="24"/>
          <w:vertAlign w:val="subscript"/>
        </w:rPr>
        <w:t>0</w:t>
      </w:r>
      <w:r w:rsidRPr="00727B4B">
        <w:rPr>
          <w:rFonts w:ascii="Times New Roman" w:hAnsi="Times New Roman" w:cs="Times New Roman"/>
          <w:b/>
          <w:bCs/>
          <w:sz w:val="24"/>
          <w:szCs w:val="24"/>
        </w:rPr>
        <w:t>):</w:t>
      </w:r>
      <w:r w:rsidRPr="00002CD7">
        <w:rPr>
          <w:rFonts w:ascii="Times New Roman" w:hAnsi="Times New Roman" w:cs="Times New Roman"/>
          <w:sz w:val="24"/>
          <w:szCs w:val="24"/>
        </w:rPr>
        <w:t xml:space="preserve"> There is no significant difference between the means μ</w:t>
      </w:r>
      <w:r>
        <w:rPr>
          <w:rFonts w:ascii="Times New Roman" w:hAnsi="Times New Roman" w:cs="Times New Roman"/>
          <w:sz w:val="24"/>
          <w:szCs w:val="24"/>
        </w:rPr>
        <w:t>1</w:t>
      </w:r>
      <w:r w:rsidRPr="00002CD7">
        <w:rPr>
          <w:rFonts w:ascii="Times New Roman" w:hAnsi="Times New Roman" w:cs="Times New Roman"/>
          <w:sz w:val="24"/>
          <w:szCs w:val="24"/>
        </w:rPr>
        <w:t>=μ</w:t>
      </w:r>
      <w:r>
        <w:rPr>
          <w:rFonts w:ascii="Times New Roman" w:hAnsi="Times New Roman" w:cs="Times New Roman"/>
          <w:sz w:val="24"/>
          <w:szCs w:val="24"/>
        </w:rPr>
        <w:t>2</w:t>
      </w:r>
      <w:r w:rsidRPr="00002CD7">
        <w:rPr>
          <w:rFonts w:ascii="Times New Roman" w:hAnsi="Times New Roman" w:cs="Times New Roman"/>
          <w:sz w:val="24"/>
          <w:szCs w:val="24"/>
        </w:rPr>
        <w:t>=μ3</w:t>
      </w:r>
    </w:p>
    <w:p w14:paraId="44CDE1C5" w14:textId="77777777" w:rsidR="00EF5634" w:rsidRDefault="00EF5634" w:rsidP="00EF5634">
      <w:pPr>
        <w:spacing w:line="480" w:lineRule="auto"/>
        <w:rPr>
          <w:rFonts w:ascii="Times New Roman" w:hAnsi="Times New Roman" w:cs="Times New Roman"/>
          <w:sz w:val="24"/>
          <w:szCs w:val="24"/>
        </w:rPr>
      </w:pPr>
      <w:r w:rsidRPr="00727B4B">
        <w:rPr>
          <w:rFonts w:ascii="Times New Roman" w:hAnsi="Times New Roman" w:cs="Times New Roman"/>
          <w:b/>
          <w:bCs/>
          <w:sz w:val="24"/>
          <w:szCs w:val="24"/>
        </w:rPr>
        <w:t>Alternative Hypothesis (H</w:t>
      </w:r>
      <w:r w:rsidRPr="00727B4B">
        <w:rPr>
          <w:rFonts w:ascii="Times New Roman" w:hAnsi="Times New Roman" w:cs="Times New Roman"/>
          <w:b/>
          <w:bCs/>
          <w:sz w:val="24"/>
          <w:szCs w:val="24"/>
          <w:vertAlign w:val="subscript"/>
        </w:rPr>
        <w:t>a</w:t>
      </w:r>
      <w:r w:rsidRPr="00727B4B">
        <w:rPr>
          <w:rFonts w:ascii="Times New Roman" w:hAnsi="Times New Roman" w:cs="Times New Roman"/>
          <w:b/>
          <w:bCs/>
          <w:sz w:val="24"/>
          <w:szCs w:val="24"/>
        </w:rPr>
        <w:t>):</w:t>
      </w:r>
      <w:r w:rsidRPr="00002CD7">
        <w:rPr>
          <w:rFonts w:ascii="Times New Roman" w:hAnsi="Times New Roman" w:cs="Times New Roman"/>
          <w:sz w:val="24"/>
          <w:szCs w:val="24"/>
        </w:rPr>
        <w:t xml:space="preserve"> There is at least one significant difference between the means. (μ1</w:t>
      </w:r>
      <w:r w:rsidRPr="00002CD7">
        <w:rPr>
          <w:rStyle w:val="Emphasis"/>
        </w:rPr>
        <w:t>≠</w:t>
      </w:r>
      <w:r w:rsidRPr="00002CD7">
        <w:rPr>
          <w:rFonts w:ascii="Times New Roman" w:hAnsi="Times New Roman" w:cs="Times New Roman"/>
          <w:sz w:val="24"/>
          <w:szCs w:val="24"/>
        </w:rPr>
        <w:t>μ2</w:t>
      </w:r>
      <w:r w:rsidRPr="00002CD7">
        <w:rPr>
          <w:rStyle w:val="Emphasis"/>
        </w:rPr>
        <w:t>≠</w:t>
      </w:r>
      <w:r w:rsidRPr="00002CD7">
        <w:rPr>
          <w:rFonts w:ascii="Times New Roman" w:hAnsi="Times New Roman" w:cs="Times New Roman"/>
          <w:sz w:val="24"/>
          <w:szCs w:val="24"/>
        </w:rPr>
        <w:t>μ3) α = 0.05</w:t>
      </w:r>
      <w:r>
        <w:rPr>
          <w:rFonts w:ascii="Times New Roman" w:hAnsi="Times New Roman" w:cs="Times New Roman"/>
          <w:sz w:val="24"/>
          <w:szCs w:val="24"/>
        </w:rPr>
        <w:t xml:space="preserve"> </w:t>
      </w:r>
    </w:p>
    <w:p w14:paraId="295B2B18" w14:textId="77777777" w:rsidR="00EF5634" w:rsidRPr="00002CD7" w:rsidRDefault="00EF5634" w:rsidP="00EF56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conduct a One-way Analysis of Variance (ANOVA) hypothesis test to determine if we have sufficient evidence to reject or accept the null hypothesis. The parameters used for this test are the models as the independent variable and the defects percentage as the dependent variable. These parameters were chosen as the results derived from using these parameters are most relevant to solving the organizational problem.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conduct the ANOVA test, I uploaded the data into the SPSS software. Next, I transformed the variable, model, into a numeric value so that it would appear in the dialogue box. I then selected analyze, compare means, and chose the One-Way ANOVA test. Then, I placed percentage in the dependent list and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as the factor. I chose Tukey as the equal variance assumed and used 0.05 as the significance level from the Post Hoc section. I also selected the box for descriptive under the options section. Finally, I ran the test and received the following results: </w:t>
      </w:r>
    </w:p>
    <w:p w14:paraId="2990FA1B" w14:textId="77777777" w:rsidR="00EF5634" w:rsidRDefault="00EF5634" w:rsidP="00EF5634">
      <w:pPr>
        <w:spacing w:line="480" w:lineRule="auto"/>
        <w:jc w:val="center"/>
        <w:rPr>
          <w:rFonts w:ascii="Times New Roman" w:hAnsi="Times New Roman" w:cs="Times New Roman"/>
          <w:sz w:val="24"/>
          <w:szCs w:val="24"/>
        </w:rPr>
      </w:pPr>
      <w:r w:rsidRPr="00F5251A">
        <w:rPr>
          <w:rFonts w:ascii="Times New Roman" w:hAnsi="Times New Roman" w:cs="Times New Roman"/>
          <w:noProof/>
          <w:sz w:val="24"/>
          <w:szCs w:val="24"/>
        </w:rPr>
        <w:lastRenderedPageBreak/>
        <w:drawing>
          <wp:inline distT="0" distB="0" distL="0" distR="0" wp14:anchorId="5A389C84" wp14:editId="48D94E77">
            <wp:extent cx="5943600" cy="2290445"/>
            <wp:effectExtent l="0" t="0" r="0" b="0"/>
            <wp:docPr id="1230400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00779" name="Picture 1" descr="A screenshot of a computer&#10;&#10;Description automatically generated"/>
                    <pic:cNvPicPr/>
                  </pic:nvPicPr>
                  <pic:blipFill>
                    <a:blip r:embed="rId14"/>
                    <a:stretch>
                      <a:fillRect/>
                    </a:stretch>
                  </pic:blipFill>
                  <pic:spPr>
                    <a:xfrm>
                      <a:off x="0" y="0"/>
                      <a:ext cx="5943600" cy="2290445"/>
                    </a:xfrm>
                    <a:prstGeom prst="rect">
                      <a:avLst/>
                    </a:prstGeom>
                  </pic:spPr>
                </pic:pic>
              </a:graphicData>
            </a:graphic>
          </wp:inline>
        </w:drawing>
      </w:r>
      <w:r w:rsidRPr="00F5251A">
        <w:rPr>
          <w:rFonts w:ascii="Times New Roman" w:hAnsi="Times New Roman" w:cs="Times New Roman"/>
          <w:noProof/>
          <w:sz w:val="24"/>
          <w:szCs w:val="24"/>
        </w:rPr>
        <w:drawing>
          <wp:inline distT="0" distB="0" distL="0" distR="0" wp14:anchorId="53A41541" wp14:editId="58D03946">
            <wp:extent cx="5134692" cy="1638529"/>
            <wp:effectExtent l="0" t="0" r="0" b="0"/>
            <wp:docPr id="11074818" name="Picture 1" descr="A table with numbers and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18" name="Picture 1" descr="A table with numbers and a number of squares&#10;&#10;Description automatically generated"/>
                    <pic:cNvPicPr/>
                  </pic:nvPicPr>
                  <pic:blipFill>
                    <a:blip r:embed="rId15"/>
                    <a:stretch>
                      <a:fillRect/>
                    </a:stretch>
                  </pic:blipFill>
                  <pic:spPr>
                    <a:xfrm>
                      <a:off x="0" y="0"/>
                      <a:ext cx="5134692" cy="1638529"/>
                    </a:xfrm>
                    <a:prstGeom prst="rect">
                      <a:avLst/>
                    </a:prstGeom>
                  </pic:spPr>
                </pic:pic>
              </a:graphicData>
            </a:graphic>
          </wp:inline>
        </w:drawing>
      </w:r>
    </w:p>
    <w:p w14:paraId="39D7B51A" w14:textId="77777777" w:rsidR="00EF5634" w:rsidRDefault="00EF5634" w:rsidP="00EF5634">
      <w:pPr>
        <w:spacing w:line="480" w:lineRule="auto"/>
        <w:jc w:val="center"/>
        <w:rPr>
          <w:rFonts w:ascii="Times New Roman" w:hAnsi="Times New Roman" w:cs="Times New Roman"/>
          <w:sz w:val="24"/>
          <w:szCs w:val="24"/>
        </w:rPr>
      </w:pPr>
      <w:r w:rsidRPr="00F5251A">
        <w:rPr>
          <w:rFonts w:ascii="Times New Roman" w:hAnsi="Times New Roman" w:cs="Times New Roman"/>
          <w:noProof/>
          <w:sz w:val="24"/>
          <w:szCs w:val="24"/>
        </w:rPr>
        <w:drawing>
          <wp:inline distT="0" distB="0" distL="0" distR="0" wp14:anchorId="47322A64" wp14:editId="6A9110BF">
            <wp:extent cx="5572903" cy="3334215"/>
            <wp:effectExtent l="0" t="0" r="8890" b="0"/>
            <wp:docPr id="125974131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41312" name="Picture 1" descr="A screenshot of a spreadsheet&#10;&#10;Description automatically generated"/>
                    <pic:cNvPicPr/>
                  </pic:nvPicPr>
                  <pic:blipFill>
                    <a:blip r:embed="rId16"/>
                    <a:stretch>
                      <a:fillRect/>
                    </a:stretch>
                  </pic:blipFill>
                  <pic:spPr>
                    <a:xfrm>
                      <a:off x="0" y="0"/>
                      <a:ext cx="5572903" cy="3334215"/>
                    </a:xfrm>
                    <a:prstGeom prst="rect">
                      <a:avLst/>
                    </a:prstGeom>
                  </pic:spPr>
                </pic:pic>
              </a:graphicData>
            </a:graphic>
          </wp:inline>
        </w:drawing>
      </w:r>
    </w:p>
    <w:p w14:paraId="234B7160" w14:textId="77777777" w:rsidR="00EF5634" w:rsidRDefault="00EF5634" w:rsidP="00EF5634">
      <w:pPr>
        <w:spacing w:line="480" w:lineRule="auto"/>
        <w:jc w:val="center"/>
        <w:rPr>
          <w:rFonts w:ascii="Times New Roman" w:hAnsi="Times New Roman" w:cs="Times New Roman"/>
          <w:sz w:val="24"/>
          <w:szCs w:val="24"/>
        </w:rPr>
      </w:pPr>
      <w:r w:rsidRPr="00F5251A">
        <w:rPr>
          <w:rFonts w:ascii="Times New Roman" w:hAnsi="Times New Roman" w:cs="Times New Roman"/>
          <w:noProof/>
          <w:sz w:val="24"/>
          <w:szCs w:val="24"/>
        </w:rPr>
        <w:lastRenderedPageBreak/>
        <w:drawing>
          <wp:inline distT="0" distB="0" distL="0" distR="0" wp14:anchorId="5A3C6818" wp14:editId="5A725275">
            <wp:extent cx="2886478" cy="2972215"/>
            <wp:effectExtent l="0" t="0" r="9525" b="0"/>
            <wp:docPr id="67792884"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2884" name="Picture 1" descr="A screenshot of a test results&#10;&#10;Description automatically generated"/>
                    <pic:cNvPicPr/>
                  </pic:nvPicPr>
                  <pic:blipFill>
                    <a:blip r:embed="rId17"/>
                    <a:stretch>
                      <a:fillRect/>
                    </a:stretch>
                  </pic:blipFill>
                  <pic:spPr>
                    <a:xfrm>
                      <a:off x="0" y="0"/>
                      <a:ext cx="2886478" cy="2972215"/>
                    </a:xfrm>
                    <a:prstGeom prst="rect">
                      <a:avLst/>
                    </a:prstGeom>
                  </pic:spPr>
                </pic:pic>
              </a:graphicData>
            </a:graphic>
          </wp:inline>
        </w:drawing>
      </w:r>
    </w:p>
    <w:p w14:paraId="20493BEE" w14:textId="77777777" w:rsidR="00EF5634" w:rsidRDefault="00EF5634" w:rsidP="00EF563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One-Way ANOVA test produced results for sum of squares, degree of freedom, mean square, F-statistic, and the significance, or p-value. The F-statistic is 5.285 and the significance, or p-value, is 0.023. Since we are using a level of significance of 0.05 and our p-value is less than that at 0.023, we can reject the null hypothesis that there is no significance between the three means. The results for the Post Hoc Tests are listed below:</w:t>
      </w:r>
    </w:p>
    <w:tbl>
      <w:tblPr>
        <w:tblStyle w:val="TableGrid"/>
        <w:tblW w:w="0" w:type="auto"/>
        <w:tblLook w:val="04A0" w:firstRow="1" w:lastRow="0" w:firstColumn="1" w:lastColumn="0" w:noHBand="0" w:noVBand="1"/>
      </w:tblPr>
      <w:tblGrid>
        <w:gridCol w:w="1345"/>
        <w:gridCol w:w="1440"/>
        <w:gridCol w:w="1350"/>
        <w:gridCol w:w="5215"/>
      </w:tblGrid>
      <w:tr w:rsidR="00EF5634" w14:paraId="1B3980A4" w14:textId="77777777" w:rsidTr="00E60542">
        <w:tc>
          <w:tcPr>
            <w:tcW w:w="1345" w:type="dxa"/>
            <w:shd w:val="clear" w:color="auto" w:fill="F2F2F2" w:themeFill="background1" w:themeFillShade="F2"/>
          </w:tcPr>
          <w:p w14:paraId="348CDAF3" w14:textId="77777777" w:rsidR="00EF5634" w:rsidRPr="00C86D96" w:rsidRDefault="00EF5634" w:rsidP="00E60542">
            <w:pPr>
              <w:spacing w:line="480" w:lineRule="auto"/>
              <w:jc w:val="center"/>
              <w:rPr>
                <w:rFonts w:ascii="Times New Roman" w:hAnsi="Times New Roman" w:cs="Times New Roman"/>
                <w:b/>
                <w:bCs/>
                <w:sz w:val="24"/>
                <w:szCs w:val="24"/>
              </w:rPr>
            </w:pPr>
            <w:r w:rsidRPr="00C86D96">
              <w:rPr>
                <w:rFonts w:ascii="Times New Roman" w:hAnsi="Times New Roman" w:cs="Times New Roman"/>
                <w:b/>
                <w:bCs/>
                <w:sz w:val="24"/>
                <w:szCs w:val="24"/>
              </w:rPr>
              <w:t>(I) Model</w:t>
            </w:r>
          </w:p>
        </w:tc>
        <w:tc>
          <w:tcPr>
            <w:tcW w:w="1440" w:type="dxa"/>
            <w:shd w:val="clear" w:color="auto" w:fill="F2F2F2" w:themeFill="background1" w:themeFillShade="F2"/>
          </w:tcPr>
          <w:p w14:paraId="1AB86CAE" w14:textId="77777777" w:rsidR="00EF5634" w:rsidRPr="00C86D96" w:rsidRDefault="00EF5634" w:rsidP="00E60542">
            <w:pPr>
              <w:spacing w:line="480" w:lineRule="auto"/>
              <w:jc w:val="center"/>
              <w:rPr>
                <w:rFonts w:ascii="Times New Roman" w:hAnsi="Times New Roman" w:cs="Times New Roman"/>
                <w:b/>
                <w:bCs/>
                <w:sz w:val="24"/>
                <w:szCs w:val="24"/>
              </w:rPr>
            </w:pPr>
            <w:r w:rsidRPr="00C86D96">
              <w:rPr>
                <w:rFonts w:ascii="Times New Roman" w:hAnsi="Times New Roman" w:cs="Times New Roman"/>
                <w:b/>
                <w:bCs/>
                <w:sz w:val="24"/>
                <w:szCs w:val="24"/>
              </w:rPr>
              <w:t>(J) Model</w:t>
            </w:r>
          </w:p>
        </w:tc>
        <w:tc>
          <w:tcPr>
            <w:tcW w:w="1350" w:type="dxa"/>
            <w:shd w:val="clear" w:color="auto" w:fill="F2F2F2" w:themeFill="background1" w:themeFillShade="F2"/>
          </w:tcPr>
          <w:p w14:paraId="302DFEDE" w14:textId="77777777" w:rsidR="00EF5634" w:rsidRPr="00C86D96" w:rsidRDefault="00EF5634" w:rsidP="00E60542">
            <w:pPr>
              <w:spacing w:line="480" w:lineRule="auto"/>
              <w:jc w:val="center"/>
              <w:rPr>
                <w:rFonts w:ascii="Times New Roman" w:hAnsi="Times New Roman" w:cs="Times New Roman"/>
                <w:b/>
                <w:bCs/>
                <w:sz w:val="24"/>
                <w:szCs w:val="24"/>
              </w:rPr>
            </w:pPr>
            <w:r w:rsidRPr="00C86D96">
              <w:rPr>
                <w:rFonts w:ascii="Times New Roman" w:hAnsi="Times New Roman" w:cs="Times New Roman"/>
                <w:b/>
                <w:bCs/>
                <w:sz w:val="24"/>
                <w:szCs w:val="24"/>
              </w:rPr>
              <w:t>P-Value</w:t>
            </w:r>
          </w:p>
        </w:tc>
        <w:tc>
          <w:tcPr>
            <w:tcW w:w="5215" w:type="dxa"/>
            <w:shd w:val="clear" w:color="auto" w:fill="F2F2F2" w:themeFill="background1" w:themeFillShade="F2"/>
          </w:tcPr>
          <w:p w14:paraId="6F975234" w14:textId="77777777" w:rsidR="00EF5634" w:rsidRPr="00C86D96" w:rsidRDefault="00EF5634" w:rsidP="00E60542">
            <w:pPr>
              <w:spacing w:line="480" w:lineRule="auto"/>
              <w:jc w:val="center"/>
              <w:rPr>
                <w:rFonts w:ascii="Times New Roman" w:hAnsi="Times New Roman" w:cs="Times New Roman"/>
                <w:b/>
                <w:bCs/>
                <w:sz w:val="24"/>
                <w:szCs w:val="24"/>
              </w:rPr>
            </w:pPr>
            <w:r w:rsidRPr="00C86D96">
              <w:rPr>
                <w:rFonts w:ascii="Times New Roman" w:hAnsi="Times New Roman" w:cs="Times New Roman"/>
                <w:b/>
                <w:bCs/>
                <w:sz w:val="24"/>
                <w:szCs w:val="24"/>
              </w:rPr>
              <w:t>Result</w:t>
            </w:r>
          </w:p>
        </w:tc>
      </w:tr>
      <w:tr w:rsidR="00EF5634" w14:paraId="21ACF181" w14:textId="77777777" w:rsidTr="00E60542">
        <w:tc>
          <w:tcPr>
            <w:tcW w:w="1345" w:type="dxa"/>
          </w:tcPr>
          <w:p w14:paraId="0808CEDA"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440" w:type="dxa"/>
          </w:tcPr>
          <w:p w14:paraId="54F4284F"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350" w:type="dxa"/>
          </w:tcPr>
          <w:p w14:paraId="35BB317F"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5215" w:type="dxa"/>
          </w:tcPr>
          <w:p w14:paraId="6966A3F6" w14:textId="77777777" w:rsidR="00EF5634" w:rsidRDefault="00EF5634" w:rsidP="00E60542">
            <w:pPr>
              <w:spacing w:line="240" w:lineRule="auto"/>
              <w:jc w:val="center"/>
              <w:rPr>
                <w:rFonts w:ascii="Times New Roman" w:hAnsi="Times New Roman" w:cs="Times New Roman"/>
                <w:sz w:val="24"/>
                <w:szCs w:val="24"/>
              </w:rPr>
            </w:pPr>
            <w:r>
              <w:rPr>
                <w:rFonts w:ascii="Times New Roman" w:hAnsi="Times New Roman" w:cs="Times New Roman"/>
                <w:sz w:val="24"/>
                <w:szCs w:val="24"/>
              </w:rPr>
              <w:t>There is no significant difference. We fail to reject the null hypothesis.</w:t>
            </w:r>
          </w:p>
        </w:tc>
      </w:tr>
      <w:tr w:rsidR="00EF5634" w14:paraId="5B6F6066" w14:textId="77777777" w:rsidTr="00E60542">
        <w:tc>
          <w:tcPr>
            <w:tcW w:w="1345" w:type="dxa"/>
          </w:tcPr>
          <w:p w14:paraId="02B9B33D"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440" w:type="dxa"/>
          </w:tcPr>
          <w:p w14:paraId="291DE8A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350" w:type="dxa"/>
          </w:tcPr>
          <w:p w14:paraId="7B74138E"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0.041</w:t>
            </w:r>
          </w:p>
        </w:tc>
        <w:tc>
          <w:tcPr>
            <w:tcW w:w="5215" w:type="dxa"/>
          </w:tcPr>
          <w:p w14:paraId="2F1F3635" w14:textId="77777777" w:rsidR="00EF5634" w:rsidRDefault="00EF5634" w:rsidP="00E60542">
            <w:pPr>
              <w:spacing w:line="240" w:lineRule="auto"/>
              <w:jc w:val="center"/>
              <w:rPr>
                <w:rFonts w:ascii="Times New Roman" w:hAnsi="Times New Roman" w:cs="Times New Roman"/>
                <w:sz w:val="24"/>
                <w:szCs w:val="24"/>
              </w:rPr>
            </w:pPr>
            <w:r>
              <w:rPr>
                <w:rFonts w:ascii="Times New Roman" w:hAnsi="Times New Roman" w:cs="Times New Roman"/>
                <w:sz w:val="24"/>
                <w:szCs w:val="24"/>
              </w:rPr>
              <w:t>There is no significant difference. We fail to reject the null hypothesis.</w:t>
            </w:r>
          </w:p>
        </w:tc>
      </w:tr>
      <w:tr w:rsidR="00EF5634" w14:paraId="0CA78F14" w14:textId="77777777" w:rsidTr="00E60542">
        <w:tc>
          <w:tcPr>
            <w:tcW w:w="1345" w:type="dxa"/>
          </w:tcPr>
          <w:p w14:paraId="5AD21E64"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440" w:type="dxa"/>
          </w:tcPr>
          <w:p w14:paraId="49E4CD66"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350" w:type="dxa"/>
          </w:tcPr>
          <w:p w14:paraId="69A8B18C"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5215" w:type="dxa"/>
          </w:tcPr>
          <w:p w14:paraId="07B02C7E" w14:textId="77777777" w:rsidR="00EF5634" w:rsidRDefault="00EF5634" w:rsidP="00E60542">
            <w:pPr>
              <w:spacing w:line="240" w:lineRule="auto"/>
              <w:jc w:val="center"/>
              <w:rPr>
                <w:rFonts w:ascii="Times New Roman" w:hAnsi="Times New Roman" w:cs="Times New Roman"/>
                <w:sz w:val="24"/>
                <w:szCs w:val="24"/>
              </w:rPr>
            </w:pPr>
            <w:r>
              <w:rPr>
                <w:rFonts w:ascii="Times New Roman" w:hAnsi="Times New Roman" w:cs="Times New Roman"/>
                <w:sz w:val="24"/>
                <w:szCs w:val="24"/>
              </w:rPr>
              <w:t>There is no significant difference. We fail to reject the null hypothesis.</w:t>
            </w:r>
          </w:p>
        </w:tc>
      </w:tr>
      <w:tr w:rsidR="00EF5634" w14:paraId="6912D8F7" w14:textId="77777777" w:rsidTr="00E60542">
        <w:tc>
          <w:tcPr>
            <w:tcW w:w="1345" w:type="dxa"/>
          </w:tcPr>
          <w:p w14:paraId="1328B9AD"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440" w:type="dxa"/>
          </w:tcPr>
          <w:p w14:paraId="1C67D94C"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350" w:type="dxa"/>
          </w:tcPr>
          <w:p w14:paraId="5707FBF8"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0.997</w:t>
            </w:r>
          </w:p>
        </w:tc>
        <w:tc>
          <w:tcPr>
            <w:tcW w:w="5215" w:type="dxa"/>
          </w:tcPr>
          <w:p w14:paraId="685A3E3F" w14:textId="77777777" w:rsidR="00EF5634" w:rsidRDefault="00EF5634" w:rsidP="00E6054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is a significant difference. We reject the null hypothesis. </w:t>
            </w:r>
          </w:p>
        </w:tc>
      </w:tr>
      <w:tr w:rsidR="00EF5634" w14:paraId="297248A7" w14:textId="77777777" w:rsidTr="00E60542">
        <w:tc>
          <w:tcPr>
            <w:tcW w:w="1345" w:type="dxa"/>
          </w:tcPr>
          <w:p w14:paraId="131A7305"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440" w:type="dxa"/>
          </w:tcPr>
          <w:p w14:paraId="78BB40E2"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350" w:type="dxa"/>
          </w:tcPr>
          <w:p w14:paraId="42B5158A"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0.041</w:t>
            </w:r>
          </w:p>
        </w:tc>
        <w:tc>
          <w:tcPr>
            <w:tcW w:w="5215" w:type="dxa"/>
          </w:tcPr>
          <w:p w14:paraId="3808174A" w14:textId="77777777" w:rsidR="00EF5634" w:rsidRDefault="00EF5634" w:rsidP="00E60542">
            <w:pPr>
              <w:spacing w:line="240" w:lineRule="auto"/>
              <w:jc w:val="center"/>
              <w:rPr>
                <w:rFonts w:ascii="Times New Roman" w:hAnsi="Times New Roman" w:cs="Times New Roman"/>
                <w:sz w:val="24"/>
                <w:szCs w:val="24"/>
              </w:rPr>
            </w:pPr>
            <w:r>
              <w:rPr>
                <w:rFonts w:ascii="Times New Roman" w:hAnsi="Times New Roman" w:cs="Times New Roman"/>
                <w:sz w:val="24"/>
                <w:szCs w:val="24"/>
              </w:rPr>
              <w:t>There is no significant difference. We fail to reject the null hypothesis.</w:t>
            </w:r>
          </w:p>
        </w:tc>
      </w:tr>
      <w:tr w:rsidR="00EF5634" w14:paraId="04253444" w14:textId="77777777" w:rsidTr="00E60542">
        <w:tc>
          <w:tcPr>
            <w:tcW w:w="1345" w:type="dxa"/>
          </w:tcPr>
          <w:p w14:paraId="2059EF2F"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3</w:t>
            </w:r>
          </w:p>
        </w:tc>
        <w:tc>
          <w:tcPr>
            <w:tcW w:w="1440" w:type="dxa"/>
          </w:tcPr>
          <w:p w14:paraId="3539A09D"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350" w:type="dxa"/>
          </w:tcPr>
          <w:p w14:paraId="7ED365E6" w14:textId="77777777" w:rsidR="00EF5634" w:rsidRDefault="00EF5634" w:rsidP="00E60542">
            <w:pPr>
              <w:spacing w:line="480" w:lineRule="auto"/>
              <w:jc w:val="center"/>
              <w:rPr>
                <w:rFonts w:ascii="Times New Roman" w:hAnsi="Times New Roman" w:cs="Times New Roman"/>
                <w:sz w:val="24"/>
                <w:szCs w:val="24"/>
              </w:rPr>
            </w:pPr>
            <w:r>
              <w:rPr>
                <w:rFonts w:ascii="Times New Roman" w:hAnsi="Times New Roman" w:cs="Times New Roman"/>
                <w:sz w:val="24"/>
                <w:szCs w:val="24"/>
              </w:rPr>
              <w:t>0.997</w:t>
            </w:r>
          </w:p>
        </w:tc>
        <w:tc>
          <w:tcPr>
            <w:tcW w:w="5215" w:type="dxa"/>
          </w:tcPr>
          <w:p w14:paraId="0EF9119C" w14:textId="77777777" w:rsidR="00EF5634" w:rsidRDefault="00EF5634" w:rsidP="00E60542">
            <w:pPr>
              <w:spacing w:line="240" w:lineRule="auto"/>
              <w:jc w:val="center"/>
              <w:rPr>
                <w:rFonts w:ascii="Times New Roman" w:hAnsi="Times New Roman" w:cs="Times New Roman"/>
                <w:sz w:val="24"/>
                <w:szCs w:val="24"/>
              </w:rPr>
            </w:pPr>
            <w:r>
              <w:rPr>
                <w:rFonts w:ascii="Times New Roman" w:hAnsi="Times New Roman" w:cs="Times New Roman"/>
                <w:sz w:val="24"/>
                <w:szCs w:val="24"/>
              </w:rPr>
              <w:t>The is a significant difference. We reject the null hypothesis.</w:t>
            </w:r>
          </w:p>
        </w:tc>
      </w:tr>
    </w:tbl>
    <w:p w14:paraId="6FACAD57" w14:textId="77777777" w:rsidR="00EF5634" w:rsidRDefault="00EF5634" w:rsidP="00D9060A">
      <w:pPr>
        <w:spacing w:after="0" w:line="480" w:lineRule="auto"/>
        <w:rPr>
          <w:rFonts w:ascii="Times New Roman" w:hAnsi="Times New Roman" w:cs="Times New Roman"/>
          <w:sz w:val="24"/>
          <w:szCs w:val="24"/>
        </w:rPr>
      </w:pPr>
    </w:p>
    <w:p w14:paraId="5CBACD2C" w14:textId="77777777" w:rsidR="00D9060A" w:rsidRDefault="00D9060A" w:rsidP="00D9060A">
      <w:pPr>
        <w:spacing w:after="0" w:line="480" w:lineRule="auto"/>
        <w:rPr>
          <w:rFonts w:ascii="Times New Roman" w:hAnsi="Times New Roman" w:cs="Times New Roman"/>
          <w:sz w:val="24"/>
          <w:szCs w:val="24"/>
        </w:rPr>
      </w:pPr>
    </w:p>
    <w:p w14:paraId="11ACD2DF" w14:textId="270E6E5D" w:rsidR="00B86968" w:rsidRDefault="00B86968" w:rsidP="00B869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91437FD" w14:textId="77777777" w:rsidR="00EF5634" w:rsidRDefault="00EF5634" w:rsidP="00EF5634">
      <w:pPr>
        <w:pStyle w:val="NormalWeb"/>
        <w:spacing w:before="240" w:beforeAutospacing="0" w:after="0" w:afterAutospacing="0"/>
        <w:ind w:left="567" w:hanging="567"/>
      </w:pPr>
      <w:proofErr w:type="spellStart"/>
      <w:r>
        <w:rPr>
          <w:i/>
          <w:iCs/>
        </w:rPr>
        <w:t>Libguides</w:t>
      </w:r>
      <w:proofErr w:type="spellEnd"/>
      <w:r>
        <w:rPr>
          <w:i/>
          <w:iCs/>
        </w:rPr>
        <w:t xml:space="preserve">: SPSS tutorials: One-way </w:t>
      </w:r>
      <w:proofErr w:type="spellStart"/>
      <w:r>
        <w:rPr>
          <w:i/>
          <w:iCs/>
        </w:rPr>
        <w:t>anova</w:t>
      </w:r>
      <w:proofErr w:type="spellEnd"/>
      <w:r>
        <w:t xml:space="preserve">. One-Way ANOVA - SPSS Tutorials - </w:t>
      </w:r>
      <w:proofErr w:type="spellStart"/>
      <w:r>
        <w:t>LibGuides</w:t>
      </w:r>
      <w:proofErr w:type="spellEnd"/>
      <w:r>
        <w:t xml:space="preserve"> at Kent State University. (n.d.). https://libguides.library.kent.edu/spss/onewayanova </w:t>
      </w:r>
    </w:p>
    <w:p w14:paraId="35AB5622" w14:textId="112ADC15" w:rsidR="00EF5634" w:rsidRDefault="00EF5634" w:rsidP="00EF5634">
      <w:pPr>
        <w:pStyle w:val="NormalWeb"/>
        <w:spacing w:before="240" w:beforeAutospacing="0" w:after="0" w:afterAutospacing="0"/>
        <w:ind w:left="567" w:hanging="567"/>
      </w:pPr>
      <w:r>
        <w:rPr>
          <w:i/>
          <w:iCs/>
        </w:rPr>
        <w:t>One-way ANOVA in SPSS statistics</w:t>
      </w:r>
      <w:r>
        <w:t xml:space="preserve">. One-way ANOVA in SPSS Statistics - Step-by-step procedure including testing of assumptions. (n.d.). https://statistics.laerd.com/spss-tutorials/one-way-anova-using-spss-statistics.php </w:t>
      </w:r>
    </w:p>
    <w:p w14:paraId="41E3E222" w14:textId="77777777" w:rsidR="008B49C5" w:rsidRDefault="008B49C5" w:rsidP="00EF5634">
      <w:pPr>
        <w:pStyle w:val="NormalWeb"/>
        <w:spacing w:before="240" w:beforeAutospacing="0" w:after="0" w:afterAutospacing="0"/>
        <w:ind w:left="567" w:hanging="567"/>
      </w:pPr>
      <w:r>
        <w:rPr>
          <w:i/>
          <w:iCs/>
        </w:rPr>
        <w:t>Fishbone diagram</w:t>
      </w:r>
      <w:r>
        <w:t xml:space="preserve">. Fishbone Diagram - MN Dept. of Health. (n.d.). https://www.health.state.mn.us/communities/practice/resources/phqitoolbox/fishbone.html </w:t>
      </w:r>
    </w:p>
    <w:p w14:paraId="207FEF13" w14:textId="77777777" w:rsidR="008B49C5" w:rsidRDefault="008B49C5" w:rsidP="00EF5634">
      <w:pPr>
        <w:pStyle w:val="NormalWeb"/>
        <w:spacing w:before="240" w:beforeAutospacing="0" w:after="0" w:afterAutospacing="0"/>
        <w:ind w:left="567" w:hanging="567"/>
      </w:pPr>
      <w:r>
        <w:rPr>
          <w:i/>
          <w:iCs/>
        </w:rPr>
        <w:t>How to conduct a root cause analysis</w:t>
      </w:r>
      <w:r>
        <w:t xml:space="preserve">. The Compass for SBC. (2022, April 21). https://thecompassforsbc.org/how-to-guide/how-conduct-root-cause-analysis </w:t>
      </w:r>
    </w:p>
    <w:p w14:paraId="7F974E26" w14:textId="31F25E9E" w:rsidR="00B86968" w:rsidRPr="00D83479" w:rsidRDefault="004A01B0" w:rsidP="00EF5634">
      <w:pPr>
        <w:spacing w:before="240" w:after="0" w:line="240" w:lineRule="auto"/>
        <w:ind w:left="630" w:hanging="630"/>
        <w:rPr>
          <w:rFonts w:ascii="Times New Roman" w:hAnsi="Times New Roman" w:cs="Times New Roman"/>
          <w:sz w:val="24"/>
          <w:szCs w:val="24"/>
        </w:rPr>
      </w:pPr>
      <w:r>
        <w:rPr>
          <w:rFonts w:ascii="Times New Roman" w:hAnsi="Times New Roman" w:cs="Times New Roman"/>
          <w:sz w:val="24"/>
          <w:szCs w:val="24"/>
        </w:rPr>
        <w:t xml:space="preserve">Project One Guidelines and Rubric. (n.d.) Retrieved July 16, </w:t>
      </w:r>
      <w:proofErr w:type="gramStart"/>
      <w:r>
        <w:rPr>
          <w:rFonts w:ascii="Times New Roman" w:hAnsi="Times New Roman" w:cs="Times New Roman"/>
          <w:sz w:val="24"/>
          <w:szCs w:val="24"/>
        </w:rPr>
        <w:t>2023</w:t>
      </w:r>
      <w:proofErr w:type="gramEnd"/>
      <w:r>
        <w:rPr>
          <w:rFonts w:ascii="Times New Roman" w:hAnsi="Times New Roman" w:cs="Times New Roman"/>
          <w:sz w:val="24"/>
          <w:szCs w:val="24"/>
        </w:rPr>
        <w:t xml:space="preserve"> from </w:t>
      </w:r>
      <w:r w:rsidRPr="004A01B0">
        <w:rPr>
          <w:rFonts w:ascii="Times New Roman" w:hAnsi="Times New Roman" w:cs="Times New Roman"/>
          <w:sz w:val="24"/>
          <w:szCs w:val="24"/>
        </w:rPr>
        <w:t>https://learn.snhu.edu/d2l/le/content/1346991/viewContent/25000714/View</w:t>
      </w:r>
    </w:p>
    <w:sectPr w:rsidR="00B86968" w:rsidRPr="00D8347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65FD" w14:textId="77777777" w:rsidR="00D05FCF" w:rsidRDefault="00D05FCF" w:rsidP="004B3AE8">
      <w:pPr>
        <w:spacing w:after="0" w:line="240" w:lineRule="auto"/>
      </w:pPr>
      <w:r>
        <w:separator/>
      </w:r>
    </w:p>
  </w:endnote>
  <w:endnote w:type="continuationSeparator" w:id="0">
    <w:p w14:paraId="334C412B" w14:textId="77777777" w:rsidR="00D05FCF" w:rsidRDefault="00D05FCF" w:rsidP="004B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20EC" w14:textId="77777777" w:rsidR="00D05FCF" w:rsidRDefault="00D05FCF" w:rsidP="004B3AE8">
      <w:pPr>
        <w:spacing w:after="0" w:line="240" w:lineRule="auto"/>
      </w:pPr>
      <w:r>
        <w:separator/>
      </w:r>
    </w:p>
  </w:footnote>
  <w:footnote w:type="continuationSeparator" w:id="0">
    <w:p w14:paraId="71CE4C2F" w14:textId="77777777" w:rsidR="00D05FCF" w:rsidRDefault="00D05FCF" w:rsidP="004B3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372359"/>
      <w:docPartObj>
        <w:docPartGallery w:val="Page Numbers (Top of Page)"/>
        <w:docPartUnique/>
      </w:docPartObj>
    </w:sdtPr>
    <w:sdtEndPr>
      <w:rPr>
        <w:noProof/>
      </w:rPr>
    </w:sdtEndPr>
    <w:sdtContent>
      <w:p w14:paraId="092A9BBC" w14:textId="53F50B23" w:rsidR="004B3AE8" w:rsidRDefault="004B3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AAE8F4" w14:textId="77777777" w:rsidR="004B3AE8" w:rsidRDefault="004B3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E8"/>
    <w:rsid w:val="0003439E"/>
    <w:rsid w:val="0005798B"/>
    <w:rsid w:val="00075A14"/>
    <w:rsid w:val="00132592"/>
    <w:rsid w:val="00192DCD"/>
    <w:rsid w:val="002608A8"/>
    <w:rsid w:val="003D338E"/>
    <w:rsid w:val="004A01B0"/>
    <w:rsid w:val="004B3AE8"/>
    <w:rsid w:val="00503CA3"/>
    <w:rsid w:val="00507100"/>
    <w:rsid w:val="005A0A1E"/>
    <w:rsid w:val="00662D52"/>
    <w:rsid w:val="007269F2"/>
    <w:rsid w:val="00747BC8"/>
    <w:rsid w:val="00822CC3"/>
    <w:rsid w:val="00875A63"/>
    <w:rsid w:val="008B49C5"/>
    <w:rsid w:val="008C3E4C"/>
    <w:rsid w:val="00963311"/>
    <w:rsid w:val="00B04712"/>
    <w:rsid w:val="00B80758"/>
    <w:rsid w:val="00B86968"/>
    <w:rsid w:val="00C1146B"/>
    <w:rsid w:val="00C83BFA"/>
    <w:rsid w:val="00D05FCF"/>
    <w:rsid w:val="00D7543D"/>
    <w:rsid w:val="00D83479"/>
    <w:rsid w:val="00D9060A"/>
    <w:rsid w:val="00E14B19"/>
    <w:rsid w:val="00EA3C9A"/>
    <w:rsid w:val="00EE587E"/>
    <w:rsid w:val="00EF5634"/>
    <w:rsid w:val="00F21565"/>
    <w:rsid w:val="00F9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6B27"/>
  <w15:chartTrackingRefBased/>
  <w15:docId w15:val="{473F0AA9-AC14-424F-A183-F98173AA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AE8"/>
    <w:pPr>
      <w:spacing w:line="252"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AE8"/>
    <w:rPr>
      <w:kern w:val="0"/>
      <w14:ligatures w14:val="none"/>
    </w:rPr>
  </w:style>
  <w:style w:type="paragraph" w:styleId="Footer">
    <w:name w:val="footer"/>
    <w:basedOn w:val="Normal"/>
    <w:link w:val="FooterChar"/>
    <w:uiPriority w:val="99"/>
    <w:unhideWhenUsed/>
    <w:rsid w:val="004B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AE8"/>
    <w:rPr>
      <w:kern w:val="0"/>
      <w14:ligatures w14:val="none"/>
    </w:rPr>
  </w:style>
  <w:style w:type="paragraph" w:styleId="NormalWeb">
    <w:name w:val="Normal (Web)"/>
    <w:basedOn w:val="Normal"/>
    <w:uiPriority w:val="99"/>
    <w:unhideWhenUsed/>
    <w:rsid w:val="008B49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5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F5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09129">
      <w:bodyDiv w:val="1"/>
      <w:marLeft w:val="0"/>
      <w:marRight w:val="0"/>
      <w:marTop w:val="0"/>
      <w:marBottom w:val="0"/>
      <w:divBdr>
        <w:top w:val="none" w:sz="0" w:space="0" w:color="auto"/>
        <w:left w:val="none" w:sz="0" w:space="0" w:color="auto"/>
        <w:bottom w:val="none" w:sz="0" w:space="0" w:color="auto"/>
        <w:right w:val="none" w:sz="0" w:space="0" w:color="auto"/>
      </w:divBdr>
    </w:div>
    <w:div w:id="1571580172">
      <w:bodyDiv w:val="1"/>
      <w:marLeft w:val="0"/>
      <w:marRight w:val="0"/>
      <w:marTop w:val="0"/>
      <w:marBottom w:val="0"/>
      <w:divBdr>
        <w:top w:val="none" w:sz="0" w:space="0" w:color="auto"/>
        <w:left w:val="none" w:sz="0" w:space="0" w:color="auto"/>
        <w:bottom w:val="none" w:sz="0" w:space="0" w:color="auto"/>
        <w:right w:val="none" w:sz="0" w:space="0" w:color="auto"/>
      </w:divBdr>
    </w:div>
    <w:div w:id="1931041285">
      <w:bodyDiv w:val="1"/>
      <w:marLeft w:val="0"/>
      <w:marRight w:val="0"/>
      <w:marTop w:val="0"/>
      <w:marBottom w:val="0"/>
      <w:divBdr>
        <w:top w:val="none" w:sz="0" w:space="0" w:color="auto"/>
        <w:left w:val="none" w:sz="0" w:space="0" w:color="auto"/>
        <w:bottom w:val="none" w:sz="0" w:space="0" w:color="auto"/>
        <w:right w:val="none" w:sz="0" w:space="0" w:color="auto"/>
      </w:divBdr>
    </w:div>
    <w:div w:id="2054696930">
      <w:bodyDiv w:val="1"/>
      <w:marLeft w:val="0"/>
      <w:marRight w:val="0"/>
      <w:marTop w:val="0"/>
      <w:marBottom w:val="0"/>
      <w:divBdr>
        <w:top w:val="none" w:sz="0" w:space="0" w:color="auto"/>
        <w:left w:val="none" w:sz="0" w:space="0" w:color="auto"/>
        <w:bottom w:val="none" w:sz="0" w:space="0" w:color="auto"/>
        <w:right w:val="none" w:sz="0" w:space="0" w:color="auto"/>
      </w:divBdr>
    </w:div>
    <w:div w:id="21146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microsoft.com/office/2014/relationships/chartEx" Target="charts/chartEx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arah%20Steinbaum\Downloads\DAT%20475%20Project%20Data%20Set(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arah%20Steinbaum\Downloads\DAT%20475%20Project%20Data%20Set(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arah%20Steinbaum\Downloads\DAT%20475%20Project%20Data%20Set(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'Model 595407-XXX-00'!$A$2:$A$23</cx:f>
        <cx:lvl ptCount="22">
          <cx:pt idx="0">solder bridge</cx:pt>
          <cx:pt idx="1">missing component</cx:pt>
          <cx:pt idx="2">lifted component</cx:pt>
          <cx:pt idx="3">damaged component</cx:pt>
          <cx:pt idx="4">excessive solder</cx:pt>
          <cx:pt idx="5">reversed component</cx:pt>
          <cx:pt idx="6">solder void </cx:pt>
          <cx:pt idx="7">pin damaged</cx:pt>
          <cx:pt idx="8">compnent misalignment</cx:pt>
          <cx:pt idx="9">insufficient solder</cx:pt>
          <cx:pt idx="10">billboarding</cx:pt>
          <cx:pt idx="11">damaged/ lifted pad</cx:pt>
          <cx:pt idx="12">component height/titled</cx:pt>
          <cx:pt idx="13">defective component</cx:pt>
          <cx:pt idx="14">Trace open</cx:pt>
          <cx:pt idx="15">component broken</cx:pt>
          <cx:pt idx="16">pin hole</cx:pt>
          <cx:pt idx="17">long terminals</cx:pt>
          <cx:pt idx="18">Wrong Component</cx:pt>
          <cx:pt idx="19">Wrong routing</cx:pt>
          <cx:pt idx="20">Bad Modules</cx:pt>
          <cx:pt idx="21">Missing/unknown</cx:pt>
        </cx:lvl>
      </cx:strDim>
      <cx:numDim type="val">
        <cx:f>'Model 595407-XXX-00'!$B$2:$B$23</cx:f>
        <cx:lvl ptCount="22" formatCode="General">
          <cx:pt idx="0">30</cx:pt>
          <cx:pt idx="1">14</cx:pt>
          <cx:pt idx="2">12</cx:pt>
          <cx:pt idx="3">8</cx:pt>
          <cx:pt idx="4">5</cx:pt>
          <cx:pt idx="5">5</cx:pt>
          <cx:pt idx="6">5</cx:pt>
          <cx:pt idx="7">3</cx:pt>
          <cx:pt idx="8">3</cx:pt>
          <cx:pt idx="9">2</cx:pt>
          <cx:pt idx="10">2</cx:pt>
          <cx:pt idx="11">1</cx:pt>
          <cx:pt idx="12">1</cx:pt>
          <cx:pt idx="13">1</cx:pt>
          <cx:pt idx="14">1</cx:pt>
          <cx:pt idx="15">0</cx:pt>
          <cx:pt idx="16">0</cx:pt>
          <cx:pt idx="17">0</cx:pt>
          <cx:pt idx="18">2</cx:pt>
          <cx:pt idx="19">1</cx:pt>
          <cx:pt idx="20">1</cx:pt>
          <cx:pt idx="21">3</cx:pt>
        </cx:lvl>
      </cx:numDim>
    </cx:data>
  </cx:chartData>
  <cx:chart>
    <cx:title pos="t" align="ctr" overlay="0">
      <cx:tx>
        <cx:txData>
          <cx:v>Model 595407-XXX-00</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a:ea typeface="Calibri"/>
              <a:cs typeface="Calibri"/>
            </a:rPr>
            <a:t>Model 595407-XXX-00</a:t>
          </a:r>
        </a:p>
      </cx:txPr>
    </cx:title>
    <cx:plotArea>
      <cx:plotAreaRegion>
        <cx:series layoutId="clusteredColumn" uniqueId="{BC52642C-1BF8-45BC-B58D-18D9659B95C3}">
          <cx:tx>
            <cx:txData>
              <cx:f>'Model 595407-XXX-00'!$B$1</cx:f>
              <cx:v>Number of Defects</cx:v>
            </cx:txData>
          </cx:tx>
          <cx:dataLabels pos="inEnd">
            <cx:visibility seriesName="0" categoryName="0" value="1"/>
          </cx:dataLabels>
          <cx:dataId val="0"/>
          <cx:layoutPr>
            <cx:aggregation/>
          </cx:layoutPr>
          <cx:axisId val="1"/>
        </cx:series>
        <cx:series layoutId="paretoLine" ownerIdx="0" uniqueId="{9BDDFABB-C75A-461F-AC05-A3B8424F6DD2}">
          <cx:axisId val="2"/>
        </cx:series>
      </cx:plotAreaRegion>
      <cx:axis id="0">
        <cx:catScaling gapWidth="0"/>
        <cx:title>
          <cx:tx>
            <cx:txData>
              <cx:v>Defect Type</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a:ea typeface="Calibri"/>
                  <a:cs typeface="Calibri"/>
                </a:rPr>
                <a:t>Defect Type</a:t>
              </a:r>
            </a:p>
          </cx:txPr>
        </cx:title>
        <cx:tickLabels/>
      </cx:axis>
      <cx:axis id="1">
        <cx:valScaling/>
        <cx:title>
          <cx:tx>
            <cx:txData>
              <cx:v>Number of Defects</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a:ea typeface="Calibri"/>
                  <a:cs typeface="Calibri"/>
                </a:rPr>
                <a:t>Number of Defects</a:t>
              </a:r>
            </a:p>
          </cx:txPr>
        </cx:title>
        <cx:majorGridlines/>
        <cx:tickLabels/>
      </cx:axis>
      <cx:axis id="2">
        <cx:valScaling max="1" min="0"/>
        <cx:title>
          <cx:txPr>
            <a:bodyPr spcFirstLastPara="1" vertOverflow="ellipsis" horzOverflow="overflow" wrap="square" lIns="0" tIns="0" rIns="0" bIns="0" anchor="ctr" anchorCtr="1"/>
            <a:lstStyle/>
            <a:p>
              <a:pPr algn="ctr" rtl="0">
                <a:defRPr/>
              </a:pPr>
              <a:endParaRPr lang="en-US" sz="900" b="0" i="0" u="none" strike="noStrike" baseline="0">
                <a:solidFill>
                  <a:srgbClr val="000000">
                    <a:lumMod val="65000"/>
                    <a:lumOff val="35000"/>
                  </a:srgbClr>
                </a:solidFill>
                <a:latin typeface="Calibri"/>
                <a:ea typeface="Calibri"/>
                <a:cs typeface="Calibri"/>
              </a:endParaRPr>
            </a:p>
          </cx:txPr>
        </cx:title>
        <cx:units unit="percentage"/>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'Model 595481-00X-00'!$A$2:$A$23</cx:f>
        <cx:lvl ptCount="22">
          <cx:pt idx="0">solder bridge</cx:pt>
          <cx:pt idx="1">lifted component</cx:pt>
          <cx:pt idx="2">pin damaged</cx:pt>
          <cx:pt idx="3">missing component</cx:pt>
          <cx:pt idx="4">excessive solder</cx:pt>
          <cx:pt idx="5">reversed component</cx:pt>
          <cx:pt idx="6">damaged component</cx:pt>
          <cx:pt idx="7">insufficient solder</cx:pt>
          <cx:pt idx="8">component height/titled</cx:pt>
          <cx:pt idx="9">solder void </cx:pt>
          <cx:pt idx="10">defective component</cx:pt>
          <cx:pt idx="11">billboarding</cx:pt>
          <cx:pt idx="12">Trace open</cx:pt>
          <cx:pt idx="13">damaged/ lifted pad</cx:pt>
          <cx:pt idx="14">component broken</cx:pt>
          <cx:pt idx="15">compnent misalignment</cx:pt>
          <cx:pt idx="16">pin hole</cx:pt>
          <cx:pt idx="17">long terminals</cx:pt>
          <cx:pt idx="18">Wrong Component</cx:pt>
          <cx:pt idx="19">No property assembled</cx:pt>
          <cx:pt idx="20">Wrong Configuration</cx:pt>
          <cx:pt idx="21">Missing/unknown</cx:pt>
        </cx:lvl>
      </cx:strDim>
      <cx:numDim type="val">
        <cx:f>'Model 595481-00X-00'!$B$2:$B$23</cx:f>
        <cx:lvl ptCount="22" formatCode="General">
          <cx:pt idx="0">18</cx:pt>
          <cx:pt idx="1">16</cx:pt>
          <cx:pt idx="2">11</cx:pt>
          <cx:pt idx="3">9</cx:pt>
          <cx:pt idx="4">6</cx:pt>
          <cx:pt idx="5">6</cx:pt>
          <cx:pt idx="6">6</cx:pt>
          <cx:pt idx="7">4</cx:pt>
          <cx:pt idx="8">2</cx:pt>
          <cx:pt idx="9">1</cx:pt>
          <cx:pt idx="10">1</cx:pt>
          <cx:pt idx="11">1</cx:pt>
          <cx:pt idx="12">1</cx:pt>
          <cx:pt idx="13">1</cx:pt>
          <cx:pt idx="14">1</cx:pt>
          <cx:pt idx="15">0</cx:pt>
          <cx:pt idx="16">0</cx:pt>
          <cx:pt idx="17">0</cx:pt>
          <cx:pt idx="18">13</cx:pt>
          <cx:pt idx="19">1</cx:pt>
          <cx:pt idx="20">1</cx:pt>
          <cx:pt idx="21">1</cx:pt>
        </cx:lvl>
      </cx:numDim>
    </cx:data>
  </cx:chartData>
  <cx:chart>
    <cx:title pos="t" align="ctr" overlay="0">
      <cx:tx>
        <cx:txData>
          <cx:v>Model: 595481-00X-00</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a:ea typeface="Calibri"/>
              <a:cs typeface="Calibri"/>
            </a:rPr>
            <a:t>Model: 595481-00X-00</a:t>
          </a:r>
        </a:p>
      </cx:txPr>
    </cx:title>
    <cx:plotArea>
      <cx:plotAreaRegion>
        <cx:series layoutId="clusteredColumn" uniqueId="{BCBA3C30-2622-4938-AF59-F565219AB259}">
          <cx:tx>
            <cx:txData>
              <cx:f>'Model 595481-00X-00'!$B$1</cx:f>
              <cx:v>Number of Defects</cx:v>
            </cx:txData>
          </cx:tx>
          <cx:dataLabels>
            <cx:visibility seriesName="0" categoryName="0" value="1"/>
          </cx:dataLabels>
          <cx:dataId val="0"/>
          <cx:layoutPr>
            <cx:aggregation/>
          </cx:layoutPr>
          <cx:axisId val="1"/>
        </cx:series>
        <cx:series layoutId="paretoLine" ownerIdx="0" uniqueId="{7C05D3AE-DFA1-4C9E-9D6E-8AD0043C8A81}">
          <cx:axisId val="2"/>
        </cx:series>
      </cx:plotAreaRegion>
      <cx:axis id="0">
        <cx:catScaling gapWidth="0"/>
        <cx:title>
          <cx:tx>
            <cx:txData>
              <cx:v>Defect Type</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a:ea typeface="Calibri"/>
                  <a:cs typeface="Calibri"/>
                </a:rPr>
                <a:t>Defect Type</a:t>
              </a:r>
            </a:p>
          </cx:txPr>
        </cx:title>
        <cx:tickLabels/>
      </cx:axis>
      <cx:axis id="1">
        <cx:valScaling/>
        <cx:title>
          <cx:tx>
            <cx:txData>
              <cx:v>Number of Defects</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a:ea typeface="Calibri"/>
                  <a:cs typeface="Calibri"/>
                </a:rPr>
                <a:t>Number of Defects</a:t>
              </a:r>
            </a:p>
          </cx:txPr>
        </cx:title>
        <cx:majorGridlines/>
        <cx:tickLabels/>
      </cx:axis>
      <cx:axis id="2">
        <cx:valScaling max="1" min="0"/>
        <cx:title>
          <cx:txPr>
            <a:bodyPr spcFirstLastPara="1" vertOverflow="ellipsis" horzOverflow="overflow" wrap="square" lIns="0" tIns="0" rIns="0" bIns="0" anchor="ctr" anchorCtr="1"/>
            <a:lstStyle/>
            <a:p>
              <a:pPr algn="ctr" rtl="0">
                <a:defRPr/>
              </a:pPr>
              <a:endParaRPr lang="en-US" sz="900" b="0" i="0" u="none" strike="noStrike" baseline="0">
                <a:solidFill>
                  <a:srgbClr val="000000">
                    <a:lumMod val="65000"/>
                    <a:lumOff val="35000"/>
                  </a:srgbClr>
                </a:solidFill>
                <a:latin typeface="Calibri"/>
                <a:ea typeface="Calibri"/>
                <a:cs typeface="Calibri"/>
              </a:endParaRPr>
            </a:p>
          </cx:txPr>
        </cx:title>
        <cx:units unit="percentage"/>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'Model 595310-001-00'!$A$2:$A$21</cx:f>
        <cx:lvl ptCount="20">
          <cx:pt idx="0">excessive solder</cx:pt>
          <cx:pt idx="1">solder bridge</cx:pt>
          <cx:pt idx="2">damaged component</cx:pt>
          <cx:pt idx="3">pin damaged</cx:pt>
          <cx:pt idx="4">missing component</cx:pt>
          <cx:pt idx="5">reversed component</cx:pt>
          <cx:pt idx="6">insufficient solder</cx:pt>
          <cx:pt idx="7">solder void </cx:pt>
          <cx:pt idx="8">defective component</cx:pt>
          <cx:pt idx="9">compnent misalignment</cx:pt>
          <cx:pt idx="10">lifted component</cx:pt>
          <cx:pt idx="11">component height/titled</cx:pt>
          <cx:pt idx="12">damaged/ lifted pad</cx:pt>
          <cx:pt idx="13">pin hole</cx:pt>
          <cx:pt idx="14">billboarding</cx:pt>
          <cx:pt idx="15">Trace open</cx:pt>
          <cx:pt idx="16">component broken</cx:pt>
          <cx:pt idx="17">long terminals</cx:pt>
          <cx:pt idx="18">Wrong Component</cx:pt>
          <cx:pt idx="19">Missing/unknown</cx:pt>
        </cx:lvl>
      </cx:strDim>
      <cx:numDim type="val">
        <cx:f>'Model 595310-001-00'!$B$2:$B$21</cx:f>
        <cx:lvl ptCount="20" formatCode="General">
          <cx:pt idx="0">34</cx:pt>
          <cx:pt idx="1">17</cx:pt>
          <cx:pt idx="2">14</cx:pt>
          <cx:pt idx="3">10</cx:pt>
          <cx:pt idx="4">8</cx:pt>
          <cx:pt idx="5">4</cx:pt>
          <cx:pt idx="6">3</cx:pt>
          <cx:pt idx="7">1</cx:pt>
          <cx:pt idx="8">1</cx:pt>
          <cx:pt idx="9">1</cx:pt>
          <cx:pt idx="10">1</cx:pt>
          <cx:pt idx="11">1</cx:pt>
          <cx:pt idx="12">1</cx:pt>
          <cx:pt idx="13">1</cx:pt>
          <cx:pt idx="14">0</cx:pt>
          <cx:pt idx="15">0</cx:pt>
          <cx:pt idx="16">0</cx:pt>
          <cx:pt idx="17">0</cx:pt>
          <cx:pt idx="18">2</cx:pt>
          <cx:pt idx="19">1</cx:pt>
        </cx:lvl>
      </cx:numDim>
    </cx:data>
  </cx:chartData>
  <cx:chart>
    <cx:title pos="t" align="ctr" overlay="0">
      <cx:tx>
        <cx:txData>
          <cx:v>Model: 595310-001-00</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a:ea typeface="Calibri"/>
              <a:cs typeface="Calibri"/>
            </a:rPr>
            <a:t>Model: 595310-001-00</a:t>
          </a:r>
        </a:p>
      </cx:txPr>
    </cx:title>
    <cx:plotArea>
      <cx:plotAreaRegion>
        <cx:series layoutId="clusteredColumn" uniqueId="{F80FB8EA-61A3-4765-BEB9-5B8BCA536F8E}">
          <cx:tx>
            <cx:txData>
              <cx:f>'Model 595310-001-00'!$B$1</cx:f>
              <cx:v>Number of Defects</cx:v>
            </cx:txData>
          </cx:tx>
          <cx:dataLabels>
            <cx:visibility seriesName="0" categoryName="0" value="1"/>
          </cx:dataLabels>
          <cx:dataId val="0"/>
          <cx:layoutPr>
            <cx:aggregation/>
          </cx:layoutPr>
          <cx:axisId val="1"/>
        </cx:series>
        <cx:series layoutId="paretoLine" ownerIdx="0" uniqueId="{70526C7D-23B6-4BD2-B57B-2581EA3915F8}">
          <cx:axisId val="2"/>
        </cx:series>
      </cx:plotAreaRegion>
      <cx:axis id="0">
        <cx:catScaling gapWidth="0"/>
        <cx:title>
          <cx:tx>
            <cx:txData>
              <cx:v>Defect Type</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a:ea typeface="Calibri"/>
                  <a:cs typeface="Calibri"/>
                </a:rPr>
                <a:t>Defect Type</a:t>
              </a:r>
            </a:p>
          </cx:txPr>
        </cx:title>
        <cx:tickLabels/>
      </cx:axis>
      <cx:axis id="1">
        <cx:valScaling/>
        <cx:title>
          <cx:tx>
            <cx:txData>
              <cx:v>Number of Defects</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a:ea typeface="Calibri"/>
                  <a:cs typeface="Calibri"/>
                </a:rPr>
                <a:t>Number of Defects</a:t>
              </a:r>
            </a:p>
          </cx:txPr>
        </cx:title>
        <cx:majorGridlines/>
        <cx:tickLabels/>
      </cx:axis>
      <cx:axis id="2">
        <cx:valScaling max="1" min="0"/>
        <cx:title>
          <cx:txPr>
            <a:bodyPr spcFirstLastPara="1" vertOverflow="ellipsis" horzOverflow="overflow" wrap="square" lIns="0" tIns="0" rIns="0" bIns="0" anchor="ctr" anchorCtr="1"/>
            <a:lstStyle/>
            <a:p>
              <a:pPr algn="ctr" rtl="0">
                <a:defRPr/>
              </a:pPr>
              <a:endParaRPr lang="en-US" sz="900" b="0" i="0" u="none" strike="noStrike" baseline="0">
                <a:solidFill>
                  <a:srgbClr val="000000">
                    <a:lumMod val="65000"/>
                    <a:lumOff val="35000"/>
                  </a:srgbClr>
                </a:solidFill>
                <a:latin typeface="Calibri"/>
                <a:ea typeface="Calibri"/>
                <a:cs typeface="Calibri"/>
              </a:endParaRPr>
            </a:p>
          </cx:txPr>
        </cx:title>
        <cx:units unit="percentage"/>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Steinbaum, Sarah</dc:creator>
  <cp:keywords/>
  <dc:description/>
  <cp:lastModifiedBy>Steinbaum, Sarah</cp:lastModifiedBy>
  <cp:revision>2</cp:revision>
  <dcterms:created xsi:type="dcterms:W3CDTF">2023-09-10T18:34:00Z</dcterms:created>
  <dcterms:modified xsi:type="dcterms:W3CDTF">2023-09-10T18:34:00Z</dcterms:modified>
</cp:coreProperties>
</file>