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6C6DA" w14:textId="6778BD9B" w:rsidR="008829FF" w:rsidRPr="002E3BCD" w:rsidRDefault="002931F7" w:rsidP="00246F78">
      <w:pPr>
        <w:spacing w:after="0" w:line="240" w:lineRule="auto"/>
        <w:rPr>
          <w:b/>
        </w:rPr>
      </w:pPr>
      <w:r w:rsidRPr="002E3BCD">
        <w:rPr>
          <w:b/>
        </w:rPr>
        <w:t xml:space="preserve">Unit 1 Assignment - </w:t>
      </w:r>
      <w:bookmarkStart w:id="0" w:name="_GoBack"/>
      <w:proofErr w:type="spellStart"/>
      <w:r w:rsidRPr="002E3BCD">
        <w:rPr>
          <w:b/>
        </w:rPr>
        <w:t>KickStart</w:t>
      </w:r>
      <w:proofErr w:type="spellEnd"/>
      <w:r w:rsidRPr="002E3BCD">
        <w:rPr>
          <w:b/>
        </w:rPr>
        <w:t xml:space="preserve"> My Chart</w:t>
      </w:r>
      <w:r w:rsidR="002E3BCD">
        <w:rPr>
          <w:b/>
        </w:rPr>
        <w:t xml:space="preserve"> Report</w:t>
      </w:r>
      <w:bookmarkEnd w:id="0"/>
    </w:p>
    <w:p w14:paraId="103DC7A2" w14:textId="76F63D94" w:rsidR="002931F7" w:rsidRDefault="002931F7" w:rsidP="00246F78">
      <w:pPr>
        <w:spacing w:after="0" w:line="240" w:lineRule="auto"/>
      </w:pPr>
    </w:p>
    <w:p w14:paraId="4ACBD225" w14:textId="77777777" w:rsidR="002931F7" w:rsidRDefault="002931F7" w:rsidP="00246F78">
      <w:pPr>
        <w:spacing w:after="0" w:line="240" w:lineRule="auto"/>
      </w:pPr>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5FA54FA0" w14:textId="16F0D733" w:rsidR="002931F7" w:rsidRDefault="002931F7" w:rsidP="00246F78">
      <w:pPr>
        <w:spacing w:after="0" w:line="240" w:lineRule="auto"/>
      </w:pPr>
      <w:r>
        <w:t xml:space="preserve">Since getting funded on Kickstarter requires meeting or exceeding the project's initial goal, many organizations spend months looking through past projects in an attempt to discover some trick to finding success. </w:t>
      </w:r>
      <w:r>
        <w:t>A limited analysis of a sample of Kickstarter projects reveals some insight into finding funding success through Kickstarter</w:t>
      </w:r>
      <w:r>
        <w:t>.</w:t>
      </w:r>
    </w:p>
    <w:p w14:paraId="22606784" w14:textId="77777777" w:rsidR="00246F78" w:rsidRDefault="00246F78" w:rsidP="00246F78">
      <w:pPr>
        <w:spacing w:after="0" w:line="240" w:lineRule="auto"/>
        <w:rPr>
          <w:b/>
        </w:rPr>
      </w:pPr>
    </w:p>
    <w:p w14:paraId="05F70CF2" w14:textId="1FF558E7" w:rsidR="002931F7" w:rsidRPr="007160D9" w:rsidRDefault="007160D9" w:rsidP="00246F78">
      <w:pPr>
        <w:spacing w:after="0" w:line="240" w:lineRule="auto"/>
        <w:rPr>
          <w:b/>
        </w:rPr>
      </w:pPr>
      <w:r w:rsidRPr="007160D9">
        <w:rPr>
          <w:b/>
        </w:rPr>
        <w:t>C</w:t>
      </w:r>
      <w:r w:rsidR="002931F7" w:rsidRPr="007160D9">
        <w:rPr>
          <w:b/>
        </w:rPr>
        <w:t>onclusions</w:t>
      </w:r>
    </w:p>
    <w:p w14:paraId="4F8B0638" w14:textId="77777777" w:rsidR="00246F78" w:rsidRDefault="00246F78" w:rsidP="00246F78">
      <w:pPr>
        <w:spacing w:after="0" w:line="240" w:lineRule="auto"/>
      </w:pPr>
    </w:p>
    <w:p w14:paraId="3215565F" w14:textId="237A8416" w:rsidR="008A3DB9" w:rsidRDefault="008A3DB9" w:rsidP="00246F78">
      <w:pPr>
        <w:spacing w:after="0" w:line="240" w:lineRule="auto"/>
      </w:pPr>
      <w:r>
        <w:t xml:space="preserve">A first conclusion we can draw is that projects related to the </w:t>
      </w:r>
      <w:r w:rsidR="0045563B">
        <w:t>a</w:t>
      </w:r>
      <w:r>
        <w:t xml:space="preserve">rts (i.e. Theater, Music, and Film &amp; Video) have reached or exceeded funding goals significantly more often than other </w:t>
      </w:r>
      <w:r w:rsidR="00FA06C7">
        <w:t>category</w:t>
      </w:r>
      <w:r>
        <w:t xml:space="preserve"> types</w:t>
      </w:r>
      <w:r w:rsidR="000454B7">
        <w:t xml:space="preserve"> [Chart 1]</w:t>
      </w:r>
      <w:r>
        <w:t xml:space="preserve">. Within the Theater category, </w:t>
      </w:r>
      <w:r w:rsidR="0048103B">
        <w:t xml:space="preserve">funding for </w:t>
      </w:r>
      <w:r>
        <w:t>Plays</w:t>
      </w:r>
      <w:r w:rsidR="0048103B">
        <w:t xml:space="preserve"> was </w:t>
      </w:r>
      <w:r>
        <w:t>sought</w:t>
      </w:r>
      <w:r w:rsidR="0048103B">
        <w:t xml:space="preserve"> </w:t>
      </w:r>
      <w:r>
        <w:t xml:space="preserve">and funded significantly </w:t>
      </w:r>
      <w:r w:rsidR="0048103B">
        <w:t xml:space="preserve">more </w:t>
      </w:r>
      <w:r w:rsidR="00FA06C7">
        <w:t xml:space="preserve">often </w:t>
      </w:r>
      <w:r w:rsidR="0048103B">
        <w:t>than other subcategory projects</w:t>
      </w:r>
      <w:r w:rsidR="000454B7">
        <w:t xml:space="preserve"> [</w:t>
      </w:r>
      <w:r w:rsidR="00FA06C7">
        <w:t xml:space="preserve">Chart </w:t>
      </w:r>
      <w:r w:rsidR="00FA06C7">
        <w:t>2</w:t>
      </w:r>
      <w:r w:rsidR="000454B7">
        <w:t>]</w:t>
      </w:r>
      <w:r w:rsidR="00FA06C7">
        <w:t>;</w:t>
      </w:r>
      <w:r w:rsidR="0048103B">
        <w:t xml:space="preserve"> </w:t>
      </w:r>
      <w:r w:rsidR="00FA06C7">
        <w:t xml:space="preserve">in the </w:t>
      </w:r>
      <w:r w:rsidR="0048103B">
        <w:t xml:space="preserve">Music </w:t>
      </w:r>
      <w:r w:rsidR="00FA06C7">
        <w:t>sub</w:t>
      </w:r>
      <w:r w:rsidR="0048103B">
        <w:t xml:space="preserve">category, </w:t>
      </w:r>
      <w:r w:rsidR="00FA06C7">
        <w:t xml:space="preserve">Rock and Indie Rock projects accounted for the most requests and successful funding campaigns </w:t>
      </w:r>
      <w:r w:rsidR="000454B7">
        <w:t>[</w:t>
      </w:r>
      <w:r w:rsidR="00FA06C7">
        <w:t xml:space="preserve">Chart </w:t>
      </w:r>
      <w:r w:rsidR="00FA06C7">
        <w:t>3</w:t>
      </w:r>
      <w:r w:rsidR="000454B7">
        <w:t>]</w:t>
      </w:r>
      <w:r w:rsidR="00FA06C7">
        <w:t xml:space="preserve">; and similarly, Documentaries accounted for the most requests and funded projects in the Movie subcategory </w:t>
      </w:r>
      <w:r w:rsidR="000454B7">
        <w:t>[</w:t>
      </w:r>
      <w:r w:rsidR="00FA06C7">
        <w:t xml:space="preserve">Chart </w:t>
      </w:r>
      <w:r w:rsidR="00FA06C7">
        <w:t>4</w:t>
      </w:r>
      <w:r w:rsidR="000454B7">
        <w:t>]</w:t>
      </w:r>
      <w:r w:rsidR="00FA06C7">
        <w:t xml:space="preserve">.   </w:t>
      </w:r>
    </w:p>
    <w:p w14:paraId="2E2A0F7E" w14:textId="77777777" w:rsidR="00246F78" w:rsidRDefault="00246F78" w:rsidP="00246F78">
      <w:pPr>
        <w:spacing w:after="0" w:line="240" w:lineRule="auto"/>
      </w:pPr>
    </w:p>
    <w:tbl>
      <w:tblPr>
        <w:tblStyle w:val="TableGrid"/>
        <w:tblW w:w="0" w:type="auto"/>
        <w:tblInd w:w="-5" w:type="dxa"/>
        <w:tblLook w:val="04A0" w:firstRow="1" w:lastRow="0" w:firstColumn="1" w:lastColumn="0" w:noHBand="0" w:noVBand="1"/>
      </w:tblPr>
      <w:tblGrid>
        <w:gridCol w:w="4724"/>
        <w:gridCol w:w="4641"/>
      </w:tblGrid>
      <w:tr w:rsidR="007160D9" w14:paraId="0E14337B" w14:textId="77777777" w:rsidTr="007160D9">
        <w:tc>
          <w:tcPr>
            <w:tcW w:w="4864" w:type="dxa"/>
            <w:tcBorders>
              <w:top w:val="nil"/>
              <w:left w:val="nil"/>
              <w:right w:val="nil"/>
            </w:tcBorders>
          </w:tcPr>
          <w:p w14:paraId="0D790904" w14:textId="5662BCAD" w:rsidR="007160D9" w:rsidRDefault="007160D9" w:rsidP="00246F78">
            <w:pPr>
              <w:pStyle w:val="ListParagraph"/>
              <w:ind w:left="-15"/>
            </w:pPr>
            <w:r w:rsidRPr="0045563B">
              <w:rPr>
                <w:sz w:val="20"/>
              </w:rPr>
              <w:t>Chart 1</w:t>
            </w:r>
          </w:p>
        </w:tc>
        <w:tc>
          <w:tcPr>
            <w:tcW w:w="4491" w:type="dxa"/>
            <w:tcBorders>
              <w:top w:val="nil"/>
              <w:left w:val="nil"/>
              <w:right w:val="nil"/>
            </w:tcBorders>
          </w:tcPr>
          <w:p w14:paraId="775B8BEE" w14:textId="24ED2F63" w:rsidR="007160D9" w:rsidRDefault="007160D9" w:rsidP="00246F78">
            <w:pPr>
              <w:pStyle w:val="ListParagraph"/>
              <w:ind w:left="-41"/>
            </w:pPr>
            <w:r w:rsidRPr="0045563B">
              <w:rPr>
                <w:sz w:val="20"/>
              </w:rPr>
              <w:t>Chart 2</w:t>
            </w:r>
          </w:p>
        </w:tc>
      </w:tr>
      <w:tr w:rsidR="007160D9" w14:paraId="38D6BA44" w14:textId="77777777" w:rsidTr="007160D9">
        <w:tc>
          <w:tcPr>
            <w:tcW w:w="4864" w:type="dxa"/>
          </w:tcPr>
          <w:p w14:paraId="3807BFA3" w14:textId="3CE28C0D" w:rsidR="007160D9" w:rsidRDefault="007160D9" w:rsidP="00246F78">
            <w:pPr>
              <w:pStyle w:val="ListParagraph"/>
              <w:ind w:left="-105"/>
            </w:pPr>
            <w:r>
              <w:rPr>
                <w:noProof/>
              </w:rPr>
              <w:drawing>
                <wp:inline distT="0" distB="0" distL="0" distR="0" wp14:anchorId="5A23ACC2" wp14:editId="25A766BE">
                  <wp:extent cx="2995994" cy="18232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4677" cy="1834594"/>
                          </a:xfrm>
                          <a:prstGeom prst="rect">
                            <a:avLst/>
                          </a:prstGeom>
                          <a:noFill/>
                        </pic:spPr>
                      </pic:pic>
                    </a:graphicData>
                  </a:graphic>
                </wp:inline>
              </w:drawing>
            </w:r>
          </w:p>
        </w:tc>
        <w:tc>
          <w:tcPr>
            <w:tcW w:w="4491" w:type="dxa"/>
          </w:tcPr>
          <w:p w14:paraId="1C4FB4C5" w14:textId="44A967FE" w:rsidR="007160D9" w:rsidRDefault="007160D9" w:rsidP="00246F78">
            <w:pPr>
              <w:pStyle w:val="ListParagraph"/>
              <w:ind w:left="-151"/>
            </w:pPr>
            <w:r>
              <w:rPr>
                <w:noProof/>
              </w:rPr>
              <w:drawing>
                <wp:inline distT="0" distB="0" distL="0" distR="0" wp14:anchorId="320746A7" wp14:editId="08D42327">
                  <wp:extent cx="2970809" cy="18230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2294" cy="1903773"/>
                          </a:xfrm>
                          <a:prstGeom prst="rect">
                            <a:avLst/>
                          </a:prstGeom>
                          <a:noFill/>
                        </pic:spPr>
                      </pic:pic>
                    </a:graphicData>
                  </a:graphic>
                </wp:inline>
              </w:drawing>
            </w:r>
          </w:p>
        </w:tc>
      </w:tr>
    </w:tbl>
    <w:p w14:paraId="6FA170F1" w14:textId="4ED3A668" w:rsidR="0048103B" w:rsidRDefault="0048103B" w:rsidP="00246F78">
      <w:pPr>
        <w:pStyle w:val="ListParagraph"/>
        <w:spacing w:after="0" w:line="240" w:lineRule="auto"/>
        <w:ind w:left="360"/>
      </w:pPr>
    </w:p>
    <w:tbl>
      <w:tblPr>
        <w:tblStyle w:val="TableGrid"/>
        <w:tblW w:w="0" w:type="auto"/>
        <w:tblInd w:w="-5" w:type="dxa"/>
        <w:tblLayout w:type="fixed"/>
        <w:tblLook w:val="04A0" w:firstRow="1" w:lastRow="0" w:firstColumn="1" w:lastColumn="0" w:noHBand="0" w:noVBand="1"/>
      </w:tblPr>
      <w:tblGrid>
        <w:gridCol w:w="4680"/>
        <w:gridCol w:w="4675"/>
      </w:tblGrid>
      <w:tr w:rsidR="007160D9" w14:paraId="05FD9FD5" w14:textId="77777777" w:rsidTr="007160D9">
        <w:tc>
          <w:tcPr>
            <w:tcW w:w="4680" w:type="dxa"/>
            <w:tcBorders>
              <w:top w:val="nil"/>
              <w:left w:val="nil"/>
              <w:right w:val="nil"/>
            </w:tcBorders>
          </w:tcPr>
          <w:p w14:paraId="09639A81" w14:textId="2096EE0D" w:rsidR="007160D9" w:rsidRDefault="007160D9" w:rsidP="00246F78">
            <w:pPr>
              <w:pStyle w:val="ListParagraph"/>
              <w:ind w:left="0"/>
            </w:pPr>
            <w:r w:rsidRPr="0045563B">
              <w:rPr>
                <w:sz w:val="20"/>
              </w:rPr>
              <w:t>Chart 3</w:t>
            </w:r>
          </w:p>
        </w:tc>
        <w:tc>
          <w:tcPr>
            <w:tcW w:w="4675" w:type="dxa"/>
            <w:tcBorders>
              <w:top w:val="nil"/>
              <w:left w:val="nil"/>
              <w:right w:val="nil"/>
            </w:tcBorders>
          </w:tcPr>
          <w:p w14:paraId="4D2B0222" w14:textId="5CCDE232" w:rsidR="007160D9" w:rsidRDefault="007160D9" w:rsidP="00246F78">
            <w:pPr>
              <w:pStyle w:val="ListParagraph"/>
              <w:ind w:left="0"/>
            </w:pPr>
            <w:r w:rsidRPr="0045563B">
              <w:rPr>
                <w:sz w:val="20"/>
              </w:rPr>
              <w:t>Chart 4</w:t>
            </w:r>
          </w:p>
        </w:tc>
      </w:tr>
      <w:tr w:rsidR="007160D9" w14:paraId="3ADB2F1A" w14:textId="77777777" w:rsidTr="007160D9">
        <w:tc>
          <w:tcPr>
            <w:tcW w:w="4680" w:type="dxa"/>
          </w:tcPr>
          <w:p w14:paraId="6DE95ACF" w14:textId="57FF7004" w:rsidR="007160D9" w:rsidRDefault="007160D9" w:rsidP="00246F78">
            <w:pPr>
              <w:pStyle w:val="ListParagraph"/>
              <w:ind w:left="-105"/>
            </w:pPr>
            <w:r>
              <w:rPr>
                <w:noProof/>
              </w:rPr>
              <w:drawing>
                <wp:inline distT="0" distB="0" distL="0" distR="0" wp14:anchorId="7D793559" wp14:editId="1465BF72">
                  <wp:extent cx="2960649" cy="171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7162" cy="1818736"/>
                          </a:xfrm>
                          <a:prstGeom prst="rect">
                            <a:avLst/>
                          </a:prstGeom>
                          <a:noFill/>
                        </pic:spPr>
                      </pic:pic>
                    </a:graphicData>
                  </a:graphic>
                </wp:inline>
              </w:drawing>
            </w:r>
          </w:p>
        </w:tc>
        <w:tc>
          <w:tcPr>
            <w:tcW w:w="4675" w:type="dxa"/>
          </w:tcPr>
          <w:p w14:paraId="2C4DAC63" w14:textId="3A35E2FE" w:rsidR="007160D9" w:rsidRDefault="007160D9" w:rsidP="00246F78">
            <w:pPr>
              <w:pStyle w:val="ListParagraph"/>
              <w:ind w:left="-104"/>
            </w:pPr>
            <w:r>
              <w:rPr>
                <w:noProof/>
              </w:rPr>
              <w:drawing>
                <wp:inline distT="0" distB="0" distL="0" distR="0" wp14:anchorId="40520443" wp14:editId="1ED663D5">
                  <wp:extent cx="2966317" cy="1705556"/>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464" cy="1764288"/>
                          </a:xfrm>
                          <a:prstGeom prst="rect">
                            <a:avLst/>
                          </a:prstGeom>
                          <a:noFill/>
                        </pic:spPr>
                      </pic:pic>
                    </a:graphicData>
                  </a:graphic>
                </wp:inline>
              </w:drawing>
            </w:r>
          </w:p>
        </w:tc>
      </w:tr>
    </w:tbl>
    <w:p w14:paraId="272E4B6C" w14:textId="420289DD" w:rsidR="0048103B" w:rsidRDefault="0048103B" w:rsidP="00246F78">
      <w:pPr>
        <w:spacing w:after="0" w:line="240" w:lineRule="auto"/>
      </w:pPr>
    </w:p>
    <w:p w14:paraId="0C9D5705" w14:textId="77777777" w:rsidR="00246F78" w:rsidRDefault="00246F78">
      <w:r>
        <w:br w:type="page"/>
      </w:r>
    </w:p>
    <w:p w14:paraId="19F321E4" w14:textId="6D951D99" w:rsidR="0048103B" w:rsidRDefault="000379F4" w:rsidP="00246F78">
      <w:pPr>
        <w:pStyle w:val="ListParagraph"/>
        <w:spacing w:after="0" w:line="240" w:lineRule="auto"/>
        <w:ind w:left="0"/>
      </w:pPr>
      <w:r>
        <w:lastRenderedPageBreak/>
        <w:t>A second conclusion we can draw from the limited data is that projects requesting less than $10,000 have a success rate of more than 50 percent</w:t>
      </w:r>
      <w:r w:rsidR="000454B7">
        <w:t xml:space="preserve"> </w:t>
      </w:r>
      <w:r w:rsidR="000454B7">
        <w:t>[Chart 5]</w:t>
      </w:r>
      <w:r>
        <w:t xml:space="preserve">. </w:t>
      </w:r>
      <w:r w:rsidR="000454B7">
        <w:t xml:space="preserve">While the </w:t>
      </w:r>
      <w:r w:rsidR="0016602E">
        <w:t xml:space="preserve">data </w:t>
      </w:r>
      <w:r w:rsidR="000454B7">
        <w:t xml:space="preserve">shows that funding success </w:t>
      </w:r>
      <w:r w:rsidR="0016602E">
        <w:t xml:space="preserve">for projects up to $10,000 is 53 percent, it also shows that requests for less than $10,000 are even more likely to be funded, with requests in the $1,000 to $5,000 range being successful 66 percent of the time and </w:t>
      </w:r>
      <w:r w:rsidR="000454B7">
        <w:t xml:space="preserve">requests </w:t>
      </w:r>
      <w:r w:rsidR="0016602E">
        <w:t xml:space="preserve">of </w:t>
      </w:r>
      <w:r w:rsidR="000454B7">
        <w:t xml:space="preserve">up to $1,000 </w:t>
      </w:r>
      <w:r w:rsidR="0016602E">
        <w:t xml:space="preserve">at </w:t>
      </w:r>
      <w:r w:rsidR="000454B7">
        <w:t>70 percent</w:t>
      </w:r>
      <w:r w:rsidR="0016602E">
        <w:t>.</w:t>
      </w:r>
      <w:r w:rsidR="000454B7">
        <w:t xml:space="preserve"> </w:t>
      </w:r>
    </w:p>
    <w:p w14:paraId="1A6A681F" w14:textId="7F292CF2" w:rsidR="0048103B" w:rsidRDefault="0048103B" w:rsidP="00246F78">
      <w:pPr>
        <w:pStyle w:val="ListParagraph"/>
        <w:spacing w:after="0" w:line="240" w:lineRule="auto"/>
        <w:ind w:left="360"/>
      </w:pPr>
    </w:p>
    <w:p w14:paraId="2458F9EF" w14:textId="58F9F2A1" w:rsidR="0048103B" w:rsidRPr="000454B7" w:rsidRDefault="000454B7" w:rsidP="00246F78">
      <w:pPr>
        <w:pStyle w:val="ListParagraph"/>
        <w:spacing w:after="0" w:line="240" w:lineRule="auto"/>
        <w:ind w:left="360"/>
        <w:rPr>
          <w:sz w:val="20"/>
        </w:rPr>
      </w:pPr>
      <w:r w:rsidRPr="000454B7">
        <w:rPr>
          <w:sz w:val="20"/>
        </w:rPr>
        <w:t>Chart 5</w:t>
      </w:r>
    </w:p>
    <w:p w14:paraId="304B8D49" w14:textId="077EC7C2" w:rsidR="0048103B" w:rsidRDefault="000454B7" w:rsidP="00246F78">
      <w:pPr>
        <w:pStyle w:val="ListParagraph"/>
        <w:spacing w:after="0" w:line="240" w:lineRule="auto"/>
        <w:ind w:left="360"/>
      </w:pPr>
      <w:r>
        <w:rPr>
          <w:noProof/>
        </w:rPr>
        <w:drawing>
          <wp:inline distT="0" distB="0" distL="0" distR="0" wp14:anchorId="2EBF3C72" wp14:editId="5698ECA3">
            <wp:extent cx="3044283" cy="18361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4862" cy="1920935"/>
                    </a:xfrm>
                    <a:prstGeom prst="rect">
                      <a:avLst/>
                    </a:prstGeom>
                    <a:noFill/>
                  </pic:spPr>
                </pic:pic>
              </a:graphicData>
            </a:graphic>
          </wp:inline>
        </w:drawing>
      </w:r>
    </w:p>
    <w:p w14:paraId="5B856760" w14:textId="27DBB128" w:rsidR="0048103B" w:rsidRDefault="0048103B" w:rsidP="00246F78">
      <w:pPr>
        <w:pStyle w:val="ListParagraph"/>
        <w:spacing w:after="0" w:line="240" w:lineRule="auto"/>
        <w:ind w:left="360"/>
      </w:pPr>
    </w:p>
    <w:p w14:paraId="322818DC" w14:textId="49972E59" w:rsidR="0048103B" w:rsidRDefault="00831817" w:rsidP="00246F78">
      <w:pPr>
        <w:pStyle w:val="ListParagraph"/>
        <w:spacing w:after="0" w:line="240" w:lineRule="auto"/>
        <w:ind w:left="0"/>
      </w:pPr>
      <w:r>
        <w:t xml:space="preserve">A third conclusion </w:t>
      </w:r>
      <w:r w:rsidR="00A82BE4">
        <w:t xml:space="preserve">that can be drawn from </w:t>
      </w:r>
      <w:r>
        <w:t xml:space="preserve">the data is that significantly more projects are successful than fail when the funding request is made from February through June [Chart 6]. While the data shows that in all months, excluding December, </w:t>
      </w:r>
      <w:r w:rsidR="00B01358">
        <w:t>there seems to be a significant difference between success and failure during the months of February through June</w:t>
      </w:r>
      <w:r>
        <w:t xml:space="preserve">. </w:t>
      </w:r>
      <w:r w:rsidR="00A82BE4">
        <w:t xml:space="preserve">The data also shows another </w:t>
      </w:r>
      <w:r w:rsidR="00A82BE4">
        <w:t xml:space="preserve">significant </w:t>
      </w:r>
      <w:r w:rsidR="00A82BE4">
        <w:t>difference</w:t>
      </w:r>
      <w:r w:rsidR="00A82BE4">
        <w:t xml:space="preserve"> between success and failure </w:t>
      </w:r>
      <w:r w:rsidR="00A82BE4">
        <w:t>for projects launched in November.</w:t>
      </w:r>
    </w:p>
    <w:p w14:paraId="27E2F3BA" w14:textId="48ACDC98" w:rsidR="0048103B" w:rsidRDefault="0048103B" w:rsidP="00246F78">
      <w:pPr>
        <w:pStyle w:val="ListParagraph"/>
        <w:spacing w:after="0" w:line="240" w:lineRule="auto"/>
        <w:ind w:left="360"/>
      </w:pPr>
    </w:p>
    <w:p w14:paraId="2A978BA3" w14:textId="2DB2B0AC" w:rsidR="0048103B" w:rsidRPr="00A82BE4" w:rsidRDefault="00A82BE4" w:rsidP="00246F78">
      <w:pPr>
        <w:pStyle w:val="ListParagraph"/>
        <w:spacing w:after="0" w:line="240" w:lineRule="auto"/>
        <w:ind w:left="360"/>
        <w:rPr>
          <w:sz w:val="20"/>
        </w:rPr>
      </w:pPr>
      <w:r w:rsidRPr="00A82BE4">
        <w:rPr>
          <w:sz w:val="20"/>
        </w:rPr>
        <w:t>Chart 6</w:t>
      </w:r>
    </w:p>
    <w:p w14:paraId="03ED84BC" w14:textId="7FFDC264" w:rsidR="0048103B" w:rsidRDefault="00831817" w:rsidP="00246F78">
      <w:pPr>
        <w:pStyle w:val="ListParagraph"/>
        <w:spacing w:after="0" w:line="240" w:lineRule="auto"/>
        <w:ind w:left="360"/>
      </w:pPr>
      <w:r>
        <w:rPr>
          <w:noProof/>
        </w:rPr>
        <w:drawing>
          <wp:inline distT="0" distB="0" distL="0" distR="0" wp14:anchorId="31BFB1E7" wp14:editId="56FB6A13">
            <wp:extent cx="3037180" cy="1627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247" cy="1651119"/>
                    </a:xfrm>
                    <a:prstGeom prst="rect">
                      <a:avLst/>
                    </a:prstGeom>
                    <a:noFill/>
                  </pic:spPr>
                </pic:pic>
              </a:graphicData>
            </a:graphic>
          </wp:inline>
        </w:drawing>
      </w:r>
    </w:p>
    <w:p w14:paraId="733F84EE" w14:textId="77777777" w:rsidR="0048103B" w:rsidRDefault="0048103B" w:rsidP="00246F78">
      <w:pPr>
        <w:pStyle w:val="ListParagraph"/>
        <w:spacing w:after="0" w:line="240" w:lineRule="auto"/>
        <w:ind w:left="360"/>
      </w:pPr>
    </w:p>
    <w:p w14:paraId="71B85004" w14:textId="6CED1326" w:rsidR="002931F7" w:rsidRPr="007160D9" w:rsidRDefault="007160D9" w:rsidP="00246F78">
      <w:pPr>
        <w:spacing w:after="0" w:line="240" w:lineRule="auto"/>
        <w:rPr>
          <w:b/>
        </w:rPr>
      </w:pPr>
      <w:r w:rsidRPr="007160D9">
        <w:rPr>
          <w:b/>
        </w:rPr>
        <w:t>L</w:t>
      </w:r>
      <w:r w:rsidR="002931F7" w:rsidRPr="007160D9">
        <w:rPr>
          <w:b/>
        </w:rPr>
        <w:t>imitations</w:t>
      </w:r>
      <w:r w:rsidRPr="007160D9">
        <w:rPr>
          <w:b/>
        </w:rPr>
        <w:t xml:space="preserve"> </w:t>
      </w:r>
      <w:r w:rsidR="002931F7" w:rsidRPr="007160D9">
        <w:rPr>
          <w:b/>
        </w:rPr>
        <w:t>of this dataset</w:t>
      </w:r>
    </w:p>
    <w:p w14:paraId="3269CF7E" w14:textId="77777777" w:rsidR="00246F78" w:rsidRDefault="00246F78" w:rsidP="00246F78">
      <w:pPr>
        <w:spacing w:after="0" w:line="240" w:lineRule="auto"/>
      </w:pPr>
    </w:p>
    <w:p w14:paraId="57AB3B19" w14:textId="316608BC" w:rsidR="00541A5D" w:rsidRDefault="00EF4C59" w:rsidP="00246F78">
      <w:pPr>
        <w:spacing w:after="0" w:line="240" w:lineRule="auto"/>
      </w:pPr>
      <w:r>
        <w:t>The most significant limitation o</w:t>
      </w:r>
      <w:r w:rsidR="00A82BE4">
        <w:t xml:space="preserve">f this data set </w:t>
      </w:r>
      <w:r>
        <w:t xml:space="preserve">is that it is a </w:t>
      </w:r>
      <w:r w:rsidR="00B01358">
        <w:t xml:space="preserve">sample of 4,000 request from an </w:t>
      </w:r>
      <w:r>
        <w:t xml:space="preserve">estimated </w:t>
      </w:r>
      <w:r w:rsidR="00B01358">
        <w:t xml:space="preserve">population of </w:t>
      </w:r>
      <w:r>
        <w:t xml:space="preserve">more than 300,000 requests made </w:t>
      </w:r>
      <w:r w:rsidR="00541A5D">
        <w:t>through</w:t>
      </w:r>
      <w:r>
        <w:t xml:space="preserve"> Kickstarter. Depending on how this sample was drawn from the population</w:t>
      </w:r>
      <w:r w:rsidR="00541A5D">
        <w:t>,</w:t>
      </w:r>
      <w:r>
        <w:t xml:space="preserve"> sampling errors could exi</w:t>
      </w:r>
      <w:r w:rsidR="00541A5D">
        <w:t xml:space="preserve">st that may not allow </w:t>
      </w:r>
      <w:r w:rsidR="00B01358">
        <w:t xml:space="preserve">a </w:t>
      </w:r>
      <w:r w:rsidR="00541A5D">
        <w:t>generalization of the findings</w:t>
      </w:r>
      <w:r w:rsidR="00F57D5B">
        <w:t xml:space="preserve">. An analysis of the entire population of Kickstarter campaigns </w:t>
      </w:r>
      <w:r w:rsidR="00541A5D">
        <w:t>w</w:t>
      </w:r>
      <w:r w:rsidR="00F57D5B">
        <w:t xml:space="preserve">ould </w:t>
      </w:r>
      <w:r w:rsidR="00541A5D">
        <w:t>address this.</w:t>
      </w:r>
    </w:p>
    <w:p w14:paraId="6683B3EB" w14:textId="77777777" w:rsidR="00246F78" w:rsidRDefault="00246F78" w:rsidP="00246F78">
      <w:pPr>
        <w:spacing w:after="0" w:line="240" w:lineRule="auto"/>
      </w:pPr>
    </w:p>
    <w:p w14:paraId="39335DA9" w14:textId="1D62B312" w:rsidR="00093A04" w:rsidRDefault="00541A5D" w:rsidP="00246F78">
      <w:pPr>
        <w:spacing w:after="0" w:line="240" w:lineRule="auto"/>
      </w:pPr>
      <w:r>
        <w:t xml:space="preserve">The dataset also does not include any </w:t>
      </w:r>
      <w:r w:rsidR="00246F78">
        <w:t xml:space="preserve">data about </w:t>
      </w:r>
      <w:r>
        <w:t xml:space="preserve">outside influences </w:t>
      </w:r>
      <w:r w:rsidR="00246F78">
        <w:t xml:space="preserve">(i.e. relatedness to current news topics, </w:t>
      </w:r>
      <w:r w:rsidR="002E3BCD">
        <w:t>level</w:t>
      </w:r>
      <w:r w:rsidR="00246F78">
        <w:t xml:space="preserve"> of publicity) </w:t>
      </w:r>
      <w:r>
        <w:t>that could have influenced the success, failure, or cancellation of funding requests.</w:t>
      </w:r>
      <w:r w:rsidR="00246F78">
        <w:t xml:space="preserve"> </w:t>
      </w:r>
      <w:r>
        <w:t xml:space="preserve">Understanding the external environment could significantly increase </w:t>
      </w:r>
      <w:r w:rsidR="00B01358">
        <w:t xml:space="preserve">the </w:t>
      </w:r>
      <w:r>
        <w:t>understanding of why a request was successful of not</w:t>
      </w:r>
      <w:r w:rsidR="00093A04">
        <w:t>.</w:t>
      </w:r>
    </w:p>
    <w:p w14:paraId="4C6E3013" w14:textId="77777777" w:rsidR="00246F78" w:rsidRDefault="00246F78" w:rsidP="00246F78">
      <w:pPr>
        <w:spacing w:after="0" w:line="240" w:lineRule="auto"/>
        <w:rPr>
          <w:b/>
        </w:rPr>
      </w:pPr>
    </w:p>
    <w:p w14:paraId="24B8530C" w14:textId="2049DB49" w:rsidR="000E2BE2" w:rsidRPr="00246F78" w:rsidRDefault="00246F78" w:rsidP="00246F78">
      <w:pPr>
        <w:spacing w:after="0" w:line="240" w:lineRule="auto"/>
        <w:rPr>
          <w:b/>
        </w:rPr>
      </w:pPr>
      <w:r w:rsidRPr="00246F78">
        <w:rPr>
          <w:b/>
        </w:rPr>
        <w:lastRenderedPageBreak/>
        <w:t>O</w:t>
      </w:r>
      <w:r w:rsidR="002931F7" w:rsidRPr="00246F78">
        <w:rPr>
          <w:b/>
        </w:rPr>
        <w:t>ther possible tables/graphs</w:t>
      </w:r>
    </w:p>
    <w:p w14:paraId="6E87B85A" w14:textId="77777777" w:rsidR="00246F78" w:rsidRDefault="00246F78" w:rsidP="00246F78">
      <w:pPr>
        <w:spacing w:after="0" w:line="240" w:lineRule="auto"/>
      </w:pPr>
    </w:p>
    <w:p w14:paraId="54935F97" w14:textId="6E7C7567" w:rsidR="000E2BE2" w:rsidRDefault="00246F78" w:rsidP="00246F78">
      <w:pPr>
        <w:spacing w:after="0" w:line="240" w:lineRule="auto"/>
      </w:pPr>
      <w:r>
        <w:t>The following list of tables/graphs would be helpful in uncovering additional insights.</w:t>
      </w:r>
    </w:p>
    <w:p w14:paraId="37B0F5A4" w14:textId="77777777" w:rsidR="002E3BCD" w:rsidRDefault="002E3BCD" w:rsidP="00246F78">
      <w:pPr>
        <w:spacing w:after="0" w:line="240" w:lineRule="auto"/>
      </w:pPr>
    </w:p>
    <w:p w14:paraId="3E9EFF53" w14:textId="45EA58E7" w:rsidR="000E2BE2" w:rsidRDefault="000E2BE2" w:rsidP="00246F78">
      <w:pPr>
        <w:pStyle w:val="ListParagraph"/>
        <w:numPr>
          <w:ilvl w:val="0"/>
          <w:numId w:val="2"/>
        </w:numPr>
        <w:spacing w:after="0" w:line="240" w:lineRule="auto"/>
      </w:pPr>
      <w:r>
        <w:t>O</w:t>
      </w:r>
      <w:r>
        <w:t xml:space="preserve">utcome </w:t>
      </w:r>
      <w:r>
        <w:t xml:space="preserve">by category and subcategory by year – This would provide insight into </w:t>
      </w:r>
      <w:r w:rsidR="00EB66F3">
        <w:t xml:space="preserve">outcomes over time which would make it easier to spot overall trends. By adding “by Country” to this chart would allow you to see trends at the country level. </w:t>
      </w:r>
    </w:p>
    <w:p w14:paraId="3C213B6E" w14:textId="61F1C3D3" w:rsidR="00EB66F3" w:rsidRDefault="00EB66F3" w:rsidP="00246F78">
      <w:pPr>
        <w:pStyle w:val="ListParagraph"/>
        <w:spacing w:after="0" w:line="240" w:lineRule="auto"/>
        <w:ind w:left="0"/>
      </w:pPr>
    </w:p>
    <w:p w14:paraId="12F25FD4" w14:textId="52DFBEC4" w:rsidR="00EB66F3" w:rsidRDefault="00EB66F3" w:rsidP="00246F78">
      <w:pPr>
        <w:pStyle w:val="ListParagraph"/>
        <w:numPr>
          <w:ilvl w:val="0"/>
          <w:numId w:val="2"/>
        </w:numPr>
        <w:spacing w:after="0" w:line="240" w:lineRule="auto"/>
      </w:pPr>
      <w:r>
        <w:t>Outcome by Goal by Year by Country – This would be helpful to spot trends in funding (i.e. which countries are funding requests at higher levels). This could help determine which country a request is launched from and targeted to.</w:t>
      </w:r>
    </w:p>
    <w:p w14:paraId="6CA63DFE" w14:textId="40A51C7B" w:rsidR="00EB66F3" w:rsidRDefault="00EB66F3" w:rsidP="00246F78">
      <w:pPr>
        <w:pStyle w:val="ListParagraph"/>
        <w:spacing w:after="0" w:line="240" w:lineRule="auto"/>
        <w:ind w:left="0"/>
      </w:pPr>
    </w:p>
    <w:p w14:paraId="1942610B" w14:textId="105D69DD" w:rsidR="00EB66F3" w:rsidRDefault="007224DC" w:rsidP="00246F78">
      <w:pPr>
        <w:pStyle w:val="ListParagraph"/>
        <w:numPr>
          <w:ilvl w:val="0"/>
          <w:numId w:val="2"/>
        </w:numPr>
        <w:spacing w:after="0" w:line="240" w:lineRule="auto"/>
      </w:pPr>
      <w:r>
        <w:t>Outcome (Successful) by # Backers by Goal – This would be helpful in estimating how many Backers are needed to succeed at various Goal levels.</w:t>
      </w:r>
    </w:p>
    <w:p w14:paraId="6AB2F4E3" w14:textId="6E698BBE" w:rsidR="007224DC" w:rsidRDefault="007224DC" w:rsidP="00246F78">
      <w:pPr>
        <w:pStyle w:val="ListParagraph"/>
        <w:spacing w:after="0" w:line="240" w:lineRule="auto"/>
        <w:ind w:left="0"/>
      </w:pPr>
    </w:p>
    <w:p w14:paraId="6222EBB6" w14:textId="6718BC03" w:rsidR="007224DC" w:rsidRDefault="007224DC" w:rsidP="00246F78">
      <w:pPr>
        <w:pStyle w:val="ListParagraph"/>
        <w:numPr>
          <w:ilvl w:val="0"/>
          <w:numId w:val="2"/>
        </w:numPr>
        <w:spacing w:after="0" w:line="240" w:lineRule="auto"/>
      </w:pPr>
      <w:r>
        <w:t># Backers by Outcome (Successful) by Category/Subcategory – this would be helpful in determining how many Backers may be needed for requests in different Categories/Subcategories.</w:t>
      </w:r>
    </w:p>
    <w:p w14:paraId="3F36CFD9" w14:textId="77777777" w:rsidR="007224DC" w:rsidRDefault="007224DC" w:rsidP="00246F78">
      <w:pPr>
        <w:pStyle w:val="ListParagraph"/>
        <w:spacing w:after="0" w:line="240" w:lineRule="auto"/>
        <w:ind w:left="0"/>
      </w:pPr>
    </w:p>
    <w:p w14:paraId="5C3B5387" w14:textId="0FF053E3" w:rsidR="007224DC" w:rsidRDefault="007224DC" w:rsidP="00246F78">
      <w:pPr>
        <w:pStyle w:val="ListParagraph"/>
        <w:numPr>
          <w:ilvl w:val="0"/>
          <w:numId w:val="2"/>
        </w:numPr>
        <w:spacing w:after="0" w:line="240" w:lineRule="auto"/>
      </w:pPr>
      <w:r>
        <w:t>Avg Donation by Country by Category/Subcategory by Year by Outcome (Successful) – This would help spot funding trends</w:t>
      </w:r>
      <w:r w:rsidR="00246F78">
        <w:t xml:space="preserve"> by geographical location</w:t>
      </w:r>
      <w:r>
        <w:t>.</w:t>
      </w:r>
    </w:p>
    <w:sectPr w:rsidR="0072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C435E"/>
    <w:multiLevelType w:val="hybridMultilevel"/>
    <w:tmpl w:val="54B0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966F0"/>
    <w:multiLevelType w:val="hybridMultilevel"/>
    <w:tmpl w:val="C7BAB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F7"/>
    <w:rsid w:val="000379F4"/>
    <w:rsid w:val="000454B7"/>
    <w:rsid w:val="00093A04"/>
    <w:rsid w:val="000E2BE2"/>
    <w:rsid w:val="0016602E"/>
    <w:rsid w:val="00246F78"/>
    <w:rsid w:val="002931F7"/>
    <w:rsid w:val="002E3BCD"/>
    <w:rsid w:val="0045563B"/>
    <w:rsid w:val="0048103B"/>
    <w:rsid w:val="00541A5D"/>
    <w:rsid w:val="007160D9"/>
    <w:rsid w:val="007224DC"/>
    <w:rsid w:val="00831817"/>
    <w:rsid w:val="008829FF"/>
    <w:rsid w:val="008A3DB9"/>
    <w:rsid w:val="00A82BE4"/>
    <w:rsid w:val="00B01358"/>
    <w:rsid w:val="00B250D0"/>
    <w:rsid w:val="00EB66F3"/>
    <w:rsid w:val="00EF4C59"/>
    <w:rsid w:val="00F57D5B"/>
    <w:rsid w:val="00FA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092EBA0"/>
  <w15:chartTrackingRefBased/>
  <w15:docId w15:val="{5D28E2B8-8605-4C89-ADDE-B025BBC2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1F7"/>
    <w:pPr>
      <w:ind w:left="720"/>
      <w:contextualSpacing/>
    </w:pPr>
  </w:style>
  <w:style w:type="table" w:styleId="TableGrid">
    <w:name w:val="Table Grid"/>
    <w:basedOn w:val="TableNormal"/>
    <w:uiPriority w:val="39"/>
    <w:rsid w:val="00716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FC605-CD02-4F87-B2DC-E08F692A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stevener</dc:creator>
  <cp:keywords/>
  <dc:description/>
  <cp:lastModifiedBy>s stevener</cp:lastModifiedBy>
  <cp:revision>1</cp:revision>
  <dcterms:created xsi:type="dcterms:W3CDTF">2018-09-28T03:17:00Z</dcterms:created>
  <dcterms:modified xsi:type="dcterms:W3CDTF">2018-09-28T15:31:00Z</dcterms:modified>
</cp:coreProperties>
</file>