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26th, 2017 in MSB 5503</w:t>
      </w:r>
    </w:p>
    <w:p>
      <w:pPr>
        <w:pStyle w:val="BodyText"/>
      </w:pPr>
      <w:r>
        <w:t xml:space="preserve">I am interested in understanding how bacterial populations diversify and form species.</w:t>
      </w:r>
      <w:r>
        <w:t xml:space="preserve"> </w:t>
      </w:r>
      <w:r>
        <w:t xml:space="preserve">My work aims to better understand the forces that shape bacterial population structure using the lakes as a model system.</w:t>
      </w:r>
      <w:r>
        <w:t xml:space="preserve"> </w:t>
      </w:r>
      <w:r>
        <w:t xml:space="preserve">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Heading4"/>
      </w:pPr>
      <w:bookmarkStart w:id="23" w:name="abstract-for-accepted-manuscript-ismej"/>
      <w:bookmarkEnd w:id="23"/>
      <w:r>
        <w:t xml:space="preserve">Abstract for Accepted Manuscript (ISMEJ)</w:t>
      </w:r>
    </w:p>
    <w:p>
      <w:pPr>
        <w:pStyle w:val="FirstParagraph"/>
      </w:pPr>
      <w:r>
        <w:t xml:space="preserve">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 cell genomes and a 5-year metagenomic time series. The single cell genomes grouped into 15 monophyletic clusters (termed</w:t>
      </w:r>
      <w:r>
        <w:t xml:space="preserve"> </w:t>
      </w:r>
      <w:r>
        <w:t xml:space="preserve">“</w:t>
      </w:r>
      <w:r>
        <w:t xml:space="preserve">tribes</w:t>
      </w:r>
      <w:r>
        <w:t xml:space="preserve">”</w:t>
      </w:r>
      <w:r>
        <w:t xml:space="preserve">)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w:t>
      </w:r>
    </w:p>
    <w:p>
      <w:pPr>
        <w:pStyle w:val="Heading4"/>
      </w:pPr>
      <w:bookmarkStart w:id="24" w:name="current-project"/>
      <w:bookmarkEnd w:id="24"/>
      <w:r>
        <w:t xml:space="preserve">Current Project</w:t>
      </w:r>
    </w:p>
    <w:p>
      <w:pPr>
        <w:pStyle w:val="FirstParagraph"/>
      </w:pPr>
      <w:r>
        <w:rPr>
          <w:i/>
        </w:rPr>
        <w:t xml:space="preserve">Questions: Are there ecologically distinct strains/genotypes within previously defined sequence-discrete populations? What stage of speciation are these distinct strains/genotypes at in their separation? Is there a barrier to recombination between such strains?</w:t>
      </w:r>
    </w:p>
    <w:p>
      <w:pPr>
        <w:pStyle w:val="FigureWithCaption"/>
      </w:pPr>
      <w:r>
        <w:drawing>
          <wp:inline>
            <wp:extent cx="5334000" cy="1670242"/>
            <wp:effectExtent b="0" l="0" r="0" t="0"/>
            <wp:docPr descr="Stages of microbial speciation under different rates of selection and homologous recombination from Shapiro &amp; Polz (2014)" id="1" name="Picture"/>
            <a:graphic>
              <a:graphicData uri="http://schemas.openxmlformats.org/drawingml/2006/picture">
                <pic:pic>
                  <pic:nvPicPr>
                    <pic:cNvPr descr="images/Shapiro2014_table1.png" id="0" name="Picture"/>
                    <pic:cNvPicPr>
                      <a:picLocks noChangeArrowheads="1" noChangeAspect="1"/>
                    </pic:cNvPicPr>
                  </pic:nvPicPr>
                  <pic:blipFill>
                    <a:blip r:embed="rId25"/>
                    <a:stretch>
                      <a:fillRect/>
                    </a:stretch>
                  </pic:blipFill>
                  <pic:spPr bwMode="auto">
                    <a:xfrm>
                      <a:off x="0" y="0"/>
                      <a:ext cx="5334000" cy="1670242"/>
                    </a:xfrm>
                    <a:prstGeom prst="rect">
                      <a:avLst/>
                    </a:prstGeom>
                    <a:noFill/>
                    <a:ln w="9525">
                      <a:noFill/>
                      <a:headEnd/>
                      <a:tailEnd/>
                    </a:ln>
                  </pic:spPr>
                </pic:pic>
              </a:graphicData>
            </a:graphic>
          </wp:inline>
        </w:drawing>
      </w:r>
    </w:p>
    <w:p>
      <w:pPr>
        <w:pStyle w:val="ImageCaption"/>
      </w:pPr>
      <w:r>
        <w:t xml:space="preserve">Stages of microbial speciation under different rates of selection and homologous recombination from</w:t>
      </w:r>
      <w:r>
        <w:t xml:space="preserve"> </w:t>
      </w:r>
      <w:r>
        <w:t xml:space="preserve">Shapiro &amp; Polz (</w:t>
      </w:r>
      <w:hyperlink w:anchor="ref-Shapiro2014">
        <w:r>
          <w:rPr>
            <w:rStyle w:val="Hyperlink"/>
          </w:rPr>
          <w:t xml:space="preserve">2014</w:t>
        </w:r>
      </w:hyperlink>
      <w:r>
        <w:t xml:space="preserve">)</w:t>
      </w:r>
    </w:p>
    <w:p>
      <w:pPr>
        <w:pStyle w:val="BodyText"/>
      </w:pPr>
    </w:p>
    <w:p>
      <w:pPr>
        <w:pStyle w:val="BodyText"/>
      </w:pPr>
      <w:r>
        <w:t xml:space="preserve">Shapiro &amp; Polz (</w:t>
      </w:r>
      <w:hyperlink w:anchor="ref-Shapiro2014">
        <w:r>
          <w:rPr>
            <w:rStyle w:val="Hyperlink"/>
          </w:rPr>
          <w:t xml:space="preserve">2014</w:t>
        </w:r>
      </w:hyperlink>
      <w:r>
        <w:t xml:space="preserve">)</w:t>
      </w:r>
      <w:r>
        <w:t xml:space="preserve"> </w:t>
      </w:r>
      <w:r>
        <w:t xml:space="preserve">proposed 5 stages of microbial speciation under differing recombination/selection regimes.</w:t>
      </w:r>
      <w:r>
        <w:t xml:space="preserve"> </w:t>
      </w:r>
      <w:r>
        <w:t xml:space="preserve">In past work we looked for evidence of the two major models of bacterial speciation using the MAGs binned from Trout Bog</w:t>
      </w:r>
      <w:r>
        <w:t xml:space="preserve"> </w:t>
      </w:r>
      <w:r>
        <w:t xml:space="preserve">(Bendall et al.,</w:t>
      </w:r>
      <w:r>
        <w:t xml:space="preserve"> </w:t>
      </w:r>
      <w:hyperlink w:anchor="ref-Bendall">
        <w:r>
          <w:rPr>
            <w:rStyle w:val="Hyperlink"/>
          </w:rPr>
          <w:t xml:space="preserve">2016</w:t>
        </w:r>
      </w:hyperlink>
      <w:r>
        <w:t xml:space="preserve">)</w:t>
      </w:r>
      <w:r>
        <w:t xml:space="preserve">.</w:t>
      </w:r>
      <w:r>
        <w:t xml:space="preserve"> </w:t>
      </w:r>
      <w:r>
        <w:t xml:space="preserve">We used mapped reads from the metagenomic timeseries back to these MAGs and identified operational taxonomic units(OTUs) by delineating sequence-discrete populations at the percent identity threshold where coverage dropped off.</w:t>
      </w:r>
      <w:r>
        <w:t xml:space="preserve"> </w:t>
      </w:r>
      <w:r>
        <w:t xml:space="preserve">While this method revealed a genome-wide sweep and evidence for past gene-specific sweeps, we could not separate the strains within the sequence-discrete populations since we could not link single nucleotide variants(SNVs) together.</w:t>
      </w:r>
      <w:r>
        <w:t xml:space="preserve"> </w:t>
      </w:r>
      <w:r>
        <w:t xml:space="preserve">New statistical methods have been developed</w:t>
      </w:r>
      <w:r>
        <w:t xml:space="preserve"> </w:t>
      </w:r>
      <w:r>
        <w:t xml:space="preserve">(Costea et al.,</w:t>
      </w:r>
      <w:r>
        <w:t xml:space="preserve"> </w:t>
      </w:r>
      <w:hyperlink w:anchor="ref-Costea">
        <w:r>
          <w:rPr>
            <w:rStyle w:val="Hyperlink"/>
          </w:rPr>
          <w:t xml:space="preserve">2017</w:t>
        </w:r>
      </w:hyperlink>
      <w:r>
        <w:t xml:space="preserve">; Nayfach, Rodriguez-Mueller, Garud, &amp; Pollard,</w:t>
      </w:r>
      <w:r>
        <w:t xml:space="preserve"> </w:t>
      </w:r>
      <w:hyperlink w:anchor="ref-Nayfach2016">
        <w:r>
          <w:rPr>
            <w:rStyle w:val="Hyperlink"/>
          </w:rPr>
          <w:t xml:space="preserve">2016</w:t>
        </w:r>
      </w:hyperlink>
      <w:r>
        <w:t xml:space="preserve">; Quince et al.,</w:t>
      </w:r>
      <w:r>
        <w:t xml:space="preserve"> </w:t>
      </w:r>
      <w:hyperlink w:anchor="ref-Quince2017">
        <w:r>
          <w:rPr>
            <w:rStyle w:val="Hyperlink"/>
          </w:rPr>
          <w:t xml:space="preserve">2017</w:t>
        </w:r>
      </w:hyperlink>
      <w:r>
        <w:t xml:space="preserve">)</w:t>
      </w:r>
      <w:r>
        <w:t xml:space="preserve"> </w:t>
      </w:r>
      <w:r>
        <w:t xml:space="preserve">to find linked SNVs and identify haplotypes.</w:t>
      </w:r>
      <w:r>
        <w:t xml:space="preserve"> </w:t>
      </w:r>
      <w:r>
        <w:t xml:space="preserve">Using these methods we can identify strains within the sequence discrete populations and look for ecological differentiation and perhaps catch a variety of stages of speciation put forth by</w:t>
      </w:r>
      <w:r>
        <w:t xml:space="preserve"> </w:t>
      </w:r>
      <w:r>
        <w:t xml:space="preserve">(Shapiro &amp; Polz,</w:t>
      </w:r>
      <w:r>
        <w:t xml:space="preserve"> </w:t>
      </w:r>
      <w:hyperlink w:anchor="ref-Shapiro2014">
        <w:r>
          <w:rPr>
            <w:rStyle w:val="Hyperlink"/>
          </w:rPr>
          <w:t xml:space="preserve">2014</w:t>
        </w:r>
      </w:hyperlink>
      <w:r>
        <w:t xml:space="preserve">)</w:t>
      </w:r>
      <w:r>
        <w:t xml:space="preserve">.</w:t>
      </w:r>
    </w:p>
    <w:p>
      <w:pPr>
        <w:pStyle w:val="BodyText"/>
      </w:pPr>
      <w:r>
        <w:t xml:space="preserve">While the stages form a continuum in their differences and may not be precisely identified using metagenomes, the level of recombination between strains should give an idea of approximately the stages of speciation.</w:t>
      </w:r>
      <w:r>
        <w:t xml:space="preserve"> </w:t>
      </w:r>
      <w:r>
        <w:t xml:space="preserve">I plan to use metaSNV(</w:t>
      </w:r>
      <w:r>
        <w:t xml:space="preserve">Costea et al. (</w:t>
      </w:r>
      <w:hyperlink w:anchor="ref-Costea">
        <w:r>
          <w:rPr>
            <w:rStyle w:val="Hyperlink"/>
          </w:rPr>
          <w:t xml:space="preserve">2017</w:t>
        </w:r>
      </w:hyperlink>
      <w:r>
        <w:t xml:space="preserve">)</w:t>
      </w:r>
      <w:r>
        <w:t xml:space="preserve">) to calculate the F</w:t>
      </w:r>
      <w:r>
        <w:rPr>
          <w:vertAlign w:val="subscript"/>
        </w:rPr>
        <w:t xml:space="preserve">ST</w:t>
      </w:r>
      <w:r>
        <w:t xml:space="preserve"> </w:t>
      </w:r>
      <w:r>
        <w:t xml:space="preserve">value, which is a measure of genome differentation, between genomes as previously adjusted for metagenomics data</w:t>
      </w:r>
      <w:r>
        <w:t xml:space="preserve">(Schloissnig et al.,</w:t>
      </w:r>
      <w:r>
        <w:t xml:space="preserve"> </w:t>
      </w:r>
      <w:hyperlink w:anchor="ref-Schloissnig2012">
        <w:r>
          <w:rPr>
            <w:rStyle w:val="Hyperlink"/>
          </w:rPr>
          <w:t xml:space="preserve">2012</w:t>
        </w:r>
      </w:hyperlink>
      <w:r>
        <w:t xml:space="preserve">)</w:t>
      </w:r>
      <w:r>
        <w:t xml:space="preserve">.</w:t>
      </w:r>
      <w:r>
        <w:t xml:space="preserve"> </w:t>
      </w:r>
      <w:r>
        <w:t xml:space="preserve">Lower F</w:t>
      </w:r>
      <w:r>
        <w:rPr>
          <w:vertAlign w:val="subscript"/>
        </w:rPr>
        <w:t xml:space="preserve">ST</w:t>
      </w:r>
      <w:r>
        <w:t xml:space="preserve"> </w:t>
      </w:r>
      <w:r>
        <w:t xml:space="preserve">values will indicate earlier stages of speciation where the haplotypes are still heavily recombining.</w:t>
      </w:r>
      <w:r>
        <w:t xml:space="preserve"> </w:t>
      </w:r>
      <w:r>
        <w:t xml:space="preserve">I can then use the differences between haplotypes (SNVs and flexible gene content) in conjunction with F</w:t>
      </w:r>
      <w:r>
        <w:rPr>
          <w:vertAlign w:val="subscript"/>
        </w:rPr>
        <w:t xml:space="preserve">ST</w:t>
      </w:r>
      <w:r>
        <w:t xml:space="preserve"> </w:t>
      </w:r>
      <w:r>
        <w:t xml:space="preserve">to find differing stages of speciation within sequence-discrete populations.</w:t>
      </w:r>
      <w:r>
        <w:t xml:space="preserve"> </w:t>
      </w:r>
      <w:r>
        <w:t xml:space="preserve">In capturing many stages of speciation we hope to better understand the principles of diversification and how sequence-discrete populations emerge and separate from one another.</w:t>
      </w:r>
      <w:r>
        <w:t xml:space="preserve"> </w:t>
      </w:r>
      <w:r>
        <w:t xml:space="preserve">The results of this</w:t>
      </w:r>
      <w:r>
        <w:t xml:space="preserve"> </w:t>
      </w:r>
      <w:r>
        <w:t xml:space="preserve">‘</w:t>
      </w:r>
      <w:r>
        <w:t xml:space="preserve">reverse ecology</w:t>
      </w:r>
      <w:r>
        <w:t xml:space="preserve">’</w:t>
      </w:r>
      <w:r>
        <w:t xml:space="preserve"> </w:t>
      </w:r>
      <w:r>
        <w:t xml:space="preserve">approach can also be used to develop hypotheses for future work in the lab about the ecological differences between the haplotypes identified.</w:t>
      </w:r>
    </w:p>
    <w:p>
      <w:pPr>
        <w:pStyle w:val="FigureWithCaption"/>
      </w:pPr>
      <w:r>
        <w:drawing>
          <wp:inline>
            <wp:extent cx="5334000" cy="2489402"/>
            <wp:effectExtent b="0" l="0" r="0" t="0"/>
            <wp:docPr descr="Diagram from Sampling to Sequence-discrete Populations" id="1" name="Picture"/>
            <a:graphic>
              <a:graphicData uri="http://schemas.openxmlformats.org/drawingml/2006/picture">
                <pic:pic>
                  <pic:nvPicPr>
                    <pic:cNvPr descr="images/binning_experimental_plan_diagram_to_mapping.jpg" id="0" name="Picture"/>
                    <pic:cNvPicPr>
                      <a:picLocks noChangeArrowheads="1" noChangeAspect="1"/>
                    </pic:cNvPicPr>
                  </pic:nvPicPr>
                  <pic:blipFill>
                    <a:blip r:embed="rId26"/>
                    <a:stretch>
                      <a:fillRect/>
                    </a:stretch>
                  </pic:blipFill>
                  <pic:spPr bwMode="auto">
                    <a:xfrm>
                      <a:off x="0" y="0"/>
                      <a:ext cx="5334000" cy="2489402"/>
                    </a:xfrm>
                    <a:prstGeom prst="rect">
                      <a:avLst/>
                    </a:prstGeom>
                    <a:noFill/>
                    <a:ln w="9525">
                      <a:noFill/>
                      <a:headEnd/>
                      <a:tailEnd/>
                    </a:ln>
                  </pic:spPr>
                </pic:pic>
              </a:graphicData>
            </a:graphic>
          </wp:inline>
        </w:drawing>
      </w:r>
    </w:p>
    <w:p>
      <w:pPr>
        <w:pStyle w:val="ImageCaption"/>
      </w:pPr>
      <w:r>
        <w:t xml:space="preserve">Diagram from Sampling to Sequence-discrete Populations</w:t>
      </w:r>
    </w:p>
    <w:p>
      <w:pPr>
        <w:pStyle w:val="BodyText"/>
      </w:pPr>
      <w:r>
        <w:t xml:space="preserve">I have been working on binnning genomes from Crystal Bog and Mary Lake over the past year.</w:t>
      </w:r>
      <w:r>
        <w:t xml:space="preserve"> </w:t>
      </w:r>
      <w:r>
        <w:t xml:space="preserve">One of my current challenges is de-replicating these bins, since we likely have recovered the same genomes from multiple timepoints. Additionally I am working on methods to classify them, as past methods did not scale up.</w:t>
      </w:r>
      <w:r>
        <w:t xml:space="preserve"> </w:t>
      </w:r>
      <w:r>
        <w:t xml:space="preserve">I will also bin additional genomes from Trout Bog using new assemblies of the individual time points.</w:t>
      </w:r>
      <w:r>
        <w:t xml:space="preserve"> </w:t>
      </w:r>
      <w:r>
        <w:t xml:space="preserve">The previously binned genomes from TB were created from coassembly of all of the timepoints.</w:t>
      </w:r>
      <w:r>
        <w:br w:type="textWrapping"/>
      </w:r>
      <w:r>
        <w:t xml:space="preserve">Binning and assembling each sample separately provides several advantages which I hope will help recover more MAG reference genomes.</w:t>
      </w:r>
      <w:r>
        <w:t xml:space="preserve"> </w:t>
      </w:r>
      <w:r>
        <w:t xml:space="preserve">One such advantage is the lower strain heterogeneity in individual samples which can interfere with assembly.</w:t>
      </w:r>
      <w:r>
        <w:t xml:space="preserve"> </w:t>
      </w:r>
      <w:r>
        <w:t xml:space="preserve">Individual assemblies can also better recover genomes from bacteria that were only abundant in one sample but might have been relatively rare in the coassembly which can make assembly difficult.</w:t>
      </w:r>
      <w:r>
        <w:t xml:space="preserve"> </w:t>
      </w:r>
      <w:r>
        <w:t xml:space="preserve">Additionally I hope to be able to recover more of the flexible genome by assembling the same organism in different timepoints.</w:t>
      </w:r>
    </w:p>
    <w:p>
      <w:pPr>
        <w:pStyle w:val="Heading3"/>
      </w:pPr>
      <w:bookmarkStart w:id="27" w:name="publications"/>
      <w:bookmarkEnd w:id="27"/>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accepted to ISMEJ</w:t>
      </w:r>
      <w:r>
        <w:t xml:space="preserve">). Contrasting patterns of genome-level diversity across distinct co-occurring populations.</w:t>
      </w:r>
      <w:r>
        <w:br w:type="textWrapping"/>
      </w:r>
      <w:r>
        <w:t xml:space="preserve">He, S.,</w:t>
      </w:r>
      <w:r>
        <w:t xml:space="preserve"> </w:t>
      </w:r>
      <w:r>
        <w:rPr>
          <w:b/>
        </w:rPr>
        <w:t xml:space="preserve">Stevens, S. L. R.</w:t>
      </w:r>
      <w:r>
        <w:t xml:space="preserve">, Chan, L.-K., Bertilsson, S., Glavina del Rio, T., Tringe, S. G., … McMahon, K. D. (2017). Ecophysiology of Freshwater Verrucomicrobia Inferred from Metagenome-Assembled Genomes. mSphere. doi:</w:t>
      </w:r>
      <w:hyperlink r:id="rId28">
        <w:r>
          <w:rPr>
            <w:rStyle w:val="Hyperlink"/>
          </w:rPr>
          <w:t xml:space="preserve">10.1128/mSphere.00277-17</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9">
        <w:r>
          <w:rPr>
            <w:rStyle w:val="Hyperlink"/>
          </w:rPr>
          <w:t xml:space="preserve">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30" w:name="conference-poster"/>
      <w:bookmarkEnd w:id="30"/>
      <w:r>
        <w:t xml:space="preserve">Conference Poster</w:t>
      </w:r>
    </w:p>
    <w:p>
      <w:pPr>
        <w:pStyle w:val="FirstParagraph"/>
      </w:pPr>
      <w:r>
        <w:rPr>
          <w:b/>
        </w:rPr>
        <w:t xml:space="preserve">Stevens, S. L. R.</w:t>
      </w:r>
      <w:r>
        <w:t xml:space="preserve">, Egan, R., Malmstrom, R.R., McMahon, K. D. Comparative Genomics of Selected Bacterial Populations from Several Freshwater Bog Lakes. 2017 Microbial Population Biology Gordon Research Conference. July 2017. Andover, NH.</w:t>
      </w:r>
      <w:r>
        <w:t xml:space="preserve"> </w:t>
      </w:r>
      <w:hyperlink r:id="rId31">
        <w:r>
          <w:rPr>
            <w:rStyle w:val="Hyperlink"/>
          </w:rPr>
          <w:t xml:space="preserve">Link to Poster</w:t>
        </w:r>
      </w:hyperlink>
    </w:p>
    <w:p>
      <w:pPr>
        <w:pStyle w:val="Heading3"/>
      </w:pPr>
      <w:bookmarkStart w:id="32" w:name="professional-development"/>
      <w:bookmarkEnd w:id="32"/>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2 Software Carpentry Workshops (1 on-campus, 1 off-campus)</w:t>
      </w:r>
    </w:p>
    <w:p>
      <w:pPr>
        <w:pStyle w:val="Compact"/>
        <w:numPr>
          <w:numId w:val="1002"/>
          <w:ilvl w:val="1"/>
        </w:numPr>
      </w:pPr>
      <w:r>
        <w:t xml:space="preserve">Taught 2 Data Carpentry Workshops on-campus</w:t>
      </w:r>
    </w:p>
    <w:p>
      <w:pPr>
        <w:pStyle w:val="Compact"/>
        <w:numPr>
          <w:numId w:val="1001"/>
          <w:ilvl w:val="0"/>
        </w:numPr>
      </w:pPr>
      <w:r>
        <w:t xml:space="preserve">Attended Anvio workshop at UChicago - April 2017</w:t>
      </w:r>
    </w:p>
    <w:p>
      <w:pPr>
        <w:pStyle w:val="Compact"/>
        <w:numPr>
          <w:numId w:val="1001"/>
          <w:ilvl w:val="0"/>
        </w:numPr>
      </w:pPr>
      <w:r>
        <w:t xml:space="preserve">Computational Biology, Ecology, and Evolution(ComBEE) group - Started Nov. 2014</w:t>
      </w:r>
    </w:p>
    <w:p>
      <w:pPr>
        <w:pStyle w:val="Compact"/>
        <w:numPr>
          <w:numId w:val="1003"/>
          <w:ilvl w:val="1"/>
        </w:numPr>
      </w:pPr>
      <w:r>
        <w:t xml:space="preserve">Taught git workshop (Spring 2017) and gh-pages workshop (Fall 2017)</w:t>
      </w:r>
    </w:p>
    <w:p>
      <w:pPr>
        <w:pStyle w:val="Compact"/>
        <w:numPr>
          <w:numId w:val="1003"/>
          <w:ilvl w:val="1"/>
        </w:numPr>
      </w:pPr>
      <w:r>
        <w:t xml:space="preserve">Taught Anvio workshop on campus - May 2017</w:t>
      </w:r>
    </w:p>
    <w:p>
      <w:pPr>
        <w:pStyle w:val="Compact"/>
        <w:numPr>
          <w:numId w:val="1003"/>
          <w:ilvl w:val="1"/>
        </w:numPr>
      </w:pPr>
      <w:r>
        <w:t xml:space="preserve">‘</w:t>
      </w:r>
      <w:r>
        <w:t xml:space="preserve">Retired</w:t>
      </w:r>
      <w:r>
        <w:t xml:space="preserve">’</w:t>
      </w:r>
      <w:r>
        <w:t xml:space="preserve"> </w:t>
      </w:r>
      <w:r>
        <w:t xml:space="preserve">from organizing events - Summer 2017</w:t>
      </w:r>
    </w:p>
    <w:p>
      <w:pPr>
        <w:pStyle w:val="Compact"/>
        <w:numPr>
          <w:numId w:val="1001"/>
          <w:ilvl w:val="0"/>
        </w:numPr>
      </w:pPr>
      <w:r>
        <w:t xml:space="preserve">Attended Open Science Grid User school - Summer 2017</w:t>
      </w:r>
    </w:p>
    <w:p>
      <w:pPr>
        <w:pStyle w:val="Heading3"/>
      </w:pPr>
      <w:bookmarkStart w:id="33" w:name="awards"/>
      <w:bookmarkEnd w:id="33"/>
      <w:r>
        <w:t xml:space="preserve">Awards</w:t>
      </w:r>
    </w:p>
    <w:p>
      <w:pPr>
        <w:pStyle w:val="Compact"/>
        <w:numPr>
          <w:numId w:val="1004"/>
          <w:ilvl w:val="0"/>
        </w:numPr>
      </w:pPr>
      <w:r>
        <w:t xml:space="preserve">UW-Madison Dept. of Bacteriology Travel Award - Spring 2017</w:t>
      </w:r>
    </w:p>
    <w:p>
      <w:pPr>
        <w:pStyle w:val="FirstParagraph"/>
      </w:pPr>
    </w:p>
    <w:p>
      <w:pPr>
        <w:pStyle w:val="Heading3"/>
      </w:pPr>
      <w:bookmarkStart w:id="34" w:name="references"/>
      <w:bookmarkEnd w:id="34"/>
      <w:r>
        <w:t xml:space="preserve">References</w:t>
      </w:r>
    </w:p>
    <w:p>
      <w:pPr>
        <w:pStyle w:val="Bibliography"/>
      </w:pPr>
      <w:r>
        <w:t xml:space="preserve">Bendall, M. L., Stevens, S. L. R., Chan, L.-K., Malfatti, S., Schwientek, P., Tremblay, J., … Malmstrom, R. R. (2016). Genome-wide selective sweeps and gene-specific sweeps in natural bacterial populations.</w:t>
      </w:r>
      <w:r>
        <w:t xml:space="preserve"> </w:t>
      </w:r>
      <w:r>
        <w:rPr>
          <w:i/>
        </w:rPr>
        <w:t xml:space="preserve">ISMEJ</w:t>
      </w:r>
      <w:r>
        <w:t xml:space="preserve">.</w:t>
      </w:r>
      <w:r>
        <w:t xml:space="preserve"> </w:t>
      </w:r>
      <w:hyperlink r:id="rId29">
        <w:r>
          <w:rPr>
            <w:rStyle w:val="Hyperlink"/>
          </w:rPr>
          <w:t xml:space="preserve">https://doi.org/10.1038/ismej.2015.241</w:t>
        </w:r>
      </w:hyperlink>
    </w:p>
    <w:p>
      <w:pPr>
        <w:pStyle w:val="Bibliography"/>
      </w:pPr>
      <w:r>
        <w:t xml:space="preserve">Costea, P. I., Munch, R., Coelho, L. P., Paoli, L., Sunagawa, S., &amp; Bork, P. (2017). metaSNV: A tool for metagenomic strain level analysis.</w:t>
      </w:r>
      <w:r>
        <w:t xml:space="preserve"> </w:t>
      </w:r>
      <w:r>
        <w:rPr>
          <w:i/>
        </w:rPr>
        <w:t xml:space="preserve">PLoS ONE</w:t>
      </w:r>
      <w:r>
        <w:t xml:space="preserve">,</w:t>
      </w:r>
      <w:r>
        <w:t xml:space="preserve"> </w:t>
      </w:r>
      <w:r>
        <w:rPr>
          <w:i/>
        </w:rPr>
        <w:t xml:space="preserve">12</w:t>
      </w:r>
      <w:r>
        <w:t xml:space="preserve">(7).</w:t>
      </w:r>
      <w:r>
        <w:t xml:space="preserve"> </w:t>
      </w:r>
      <w:hyperlink r:id="rId35">
        <w:r>
          <w:rPr>
            <w:rStyle w:val="Hyperlink"/>
          </w:rPr>
          <w:t xml:space="preserve">https://doi.org/10.1371/journal.pone.0182392</w:t>
        </w:r>
      </w:hyperlink>
    </w:p>
    <w:p>
      <w:pPr>
        <w:pStyle w:val="Bibliography"/>
      </w:pPr>
      <w:r>
        <w:t xml:space="preserve">Nayfach, S., Rodriguez-Mueller, B., Garud, N., &amp; Pollard, K. S. (2016). An integrated metagenomics pipeline for strain profiling reveals novel patterns of bacterial transmission and biogeography.</w:t>
      </w:r>
      <w:r>
        <w:t xml:space="preserve"> </w:t>
      </w:r>
      <w:r>
        <w:rPr>
          <w:i/>
        </w:rPr>
        <w:t xml:space="preserve">Genome Research</w:t>
      </w:r>
      <w:r>
        <w:t xml:space="preserve">,</w:t>
      </w:r>
      <w:r>
        <w:t xml:space="preserve"> </w:t>
      </w:r>
      <w:r>
        <w:rPr>
          <w:i/>
        </w:rPr>
        <w:t xml:space="preserve">26</w:t>
      </w:r>
      <w:r>
        <w:t xml:space="preserve">(11), 1612–1625.</w:t>
      </w:r>
      <w:r>
        <w:t xml:space="preserve"> </w:t>
      </w:r>
      <w:hyperlink r:id="rId36">
        <w:r>
          <w:rPr>
            <w:rStyle w:val="Hyperlink"/>
          </w:rPr>
          <w:t xml:space="preserve">https://doi.org/10.1101/gr.201863.115</w:t>
        </w:r>
      </w:hyperlink>
    </w:p>
    <w:p>
      <w:pPr>
        <w:pStyle w:val="Bibliography"/>
      </w:pPr>
      <w:r>
        <w:t xml:space="preserve">Quince, C., Delmont, T. O., Raguideau, S., Alneberg, J., Darling, A. E., Collins, G., &amp; Eren, A. M. (2017). DESMAN: a new tool for de novo extraction of strains from metagenomes.</w:t>
      </w:r>
      <w:r>
        <w:t xml:space="preserve"> </w:t>
      </w:r>
      <w:r>
        <w:rPr>
          <w:i/>
        </w:rPr>
        <w:t xml:space="preserve">Genome Biology</w:t>
      </w:r>
      <w:r>
        <w:t xml:space="preserve">,</w:t>
      </w:r>
      <w:r>
        <w:t xml:space="preserve"> </w:t>
      </w:r>
      <w:r>
        <w:rPr>
          <w:i/>
        </w:rPr>
        <w:t xml:space="preserve">18</w:t>
      </w:r>
      <w:r>
        <w:t xml:space="preserve">(1), 181.</w:t>
      </w:r>
      <w:r>
        <w:t xml:space="preserve"> </w:t>
      </w:r>
      <w:hyperlink r:id="rId37">
        <w:r>
          <w:rPr>
            <w:rStyle w:val="Hyperlink"/>
          </w:rPr>
          <w:t xml:space="preserve">https://doi.org/10.1186/s13059-017-1309-9</w:t>
        </w:r>
      </w:hyperlink>
    </w:p>
    <w:p>
      <w:pPr>
        <w:pStyle w:val="Bibliography"/>
      </w:pPr>
      <w:r>
        <w:t xml:space="preserve">Schloissnig, S., Arumugam, M., Sunagawa, S., Mitreva, M., Tap, J., Zhu, A., … Bork, P. (2012). Genomic variation landscape of the human gut microbiome.</w:t>
      </w:r>
      <w:r>
        <w:t xml:space="preserve"> </w:t>
      </w:r>
      <w:r>
        <w:rPr>
          <w:i/>
        </w:rPr>
        <w:t xml:space="preserve">Nature</w:t>
      </w:r>
      <w:r>
        <w:t xml:space="preserve">,</w:t>
      </w:r>
      <w:r>
        <w:t xml:space="preserve"> </w:t>
      </w:r>
      <w:r>
        <w:rPr>
          <w:i/>
        </w:rPr>
        <w:t xml:space="preserve">493</w:t>
      </w:r>
      <w:r>
        <w:t xml:space="preserve">(7430), 45–50.</w:t>
      </w:r>
      <w:r>
        <w:t xml:space="preserve"> </w:t>
      </w:r>
      <w:hyperlink r:id="rId38">
        <w:r>
          <w:rPr>
            <w:rStyle w:val="Hyperlink"/>
          </w:rPr>
          <w:t xml:space="preserve">https://doi.org/10.1038/nature11711</w:t>
        </w:r>
      </w:hyperlink>
    </w:p>
    <w:p>
      <w:pPr>
        <w:pStyle w:val="Bibliography"/>
      </w:pPr>
      <w:r>
        <w:t xml:space="preserve">Shapiro, B. J., &amp; Polz, M. F. (2014). Ordering microbial diversity into ecologically and genetically cohesive units.</w:t>
      </w:r>
      <w:r>
        <w:t xml:space="preserve"> </w:t>
      </w:r>
      <w:r>
        <w:rPr>
          <w:i/>
        </w:rPr>
        <w:t xml:space="preserve">Trends in Microbiology</w:t>
      </w:r>
      <w:r>
        <w:t xml:space="preserve">,</w:t>
      </w:r>
      <w:r>
        <w:t xml:space="preserve"> </w:t>
      </w:r>
      <w:r>
        <w:rPr>
          <w:i/>
        </w:rPr>
        <w:t xml:space="preserve">22</w:t>
      </w:r>
      <w:r>
        <w:t xml:space="preserve">(5), 235–247.</w:t>
      </w:r>
      <w:r>
        <w:t xml:space="preserve"> </w:t>
      </w:r>
      <w:hyperlink r:id="rId39">
        <w:r>
          <w:rPr>
            <w:rStyle w:val="Hyperlink"/>
          </w:rPr>
          <w:t xml:space="preserve">https://doi.org/10.1016/j.tim.2014.02.006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410d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8139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jpg" /><Relationship Type="http://schemas.openxmlformats.org/officeDocument/2006/relationships/hyperlink" Id="rId39" Target="https://doi.org/10.1016/j.tim.2014.02.006" TargetMode="External" /><Relationship Type="http://schemas.openxmlformats.org/officeDocument/2006/relationships/hyperlink" Id="rId29" Target="https://doi.org/10.1038/ismej.2015.241" TargetMode="External" /><Relationship Type="http://schemas.openxmlformats.org/officeDocument/2006/relationships/hyperlink" Id="rId38" Target="https://doi.org/10.1038/nature11711" TargetMode="External" /><Relationship Type="http://schemas.openxmlformats.org/officeDocument/2006/relationships/hyperlink" Id="rId36" Target="https://doi.org/10.1101/gr.201863.115" TargetMode="External" /><Relationship Type="http://schemas.openxmlformats.org/officeDocument/2006/relationships/hyperlink" Id="rId28" Target="https://doi.org/10.1128/mSphere.00277-17" TargetMode="External" /><Relationship Type="http://schemas.openxmlformats.org/officeDocument/2006/relationships/hyperlink" Id="rId37" Target="https://doi.org/10.1186/s13059-017-1309-9" TargetMode="External" /><Relationship Type="http://schemas.openxmlformats.org/officeDocument/2006/relationships/hyperlink" Id="rId35" Target="https://doi.org/10.1371/journal.pone.0182392" TargetMode="External" /><Relationship Type="http://schemas.openxmlformats.org/officeDocument/2006/relationships/hyperlink" Id="rId31" Target="https://goo.gl/ZRSh9W"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16/j.tim.2014.02.006" TargetMode="External" /><Relationship Type="http://schemas.openxmlformats.org/officeDocument/2006/relationships/hyperlink" Id="rId29" Target="https://doi.org/10.1038/ismej.2015.241" TargetMode="External" /><Relationship Type="http://schemas.openxmlformats.org/officeDocument/2006/relationships/hyperlink" Id="rId38" Target="https://doi.org/10.1038/nature11711" TargetMode="External" /><Relationship Type="http://schemas.openxmlformats.org/officeDocument/2006/relationships/hyperlink" Id="rId36" Target="https://doi.org/10.1101/gr.201863.115" TargetMode="External" /><Relationship Type="http://schemas.openxmlformats.org/officeDocument/2006/relationships/hyperlink" Id="rId28" Target="https://doi.org/10.1128/mSphere.00277-17" TargetMode="External" /><Relationship Type="http://schemas.openxmlformats.org/officeDocument/2006/relationships/hyperlink" Id="rId37" Target="https://doi.org/10.1186/s13059-017-1309-9" TargetMode="External" /><Relationship Type="http://schemas.openxmlformats.org/officeDocument/2006/relationships/hyperlink" Id="rId35" Target="https://doi.org/10.1371/journal.pone.0182392" TargetMode="External" /><Relationship Type="http://schemas.openxmlformats.org/officeDocument/2006/relationships/hyperlink" Id="rId31" Target="https://goo.gl/ZRSh9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2017-10-23T02:18:24Z</dcterms:created>
  <dcterms:modified xsi:type="dcterms:W3CDTF">2017-10-23T02:18:24Z</dcterms:modified>
</cp:coreProperties>
</file>