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catching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r>
        <w:t xml:space="preserve"> </w:t>
      </w: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 (</w:t>
      </w:r>
      <w:hyperlink w:anchor="ref-Costea">
        <w:r>
          <w:rPr>
            <w:rStyle w:val="Hyperlink"/>
          </w:rPr>
          <w:t xml:space="preserve">2017</w:t>
        </w:r>
      </w:hyperlink>
      <w:r>
        <w:t xml:space="preserve">)</w:t>
      </w:r>
      <w:r>
        <w:t xml:space="preserve">) to calculate the F</w:t>
      </w:r>
      <w:r>
        <w:rPr>
          <w:vertAlign w:val="subscript"/>
        </w:rPr>
        <w:t xml:space="preserve">ST</w:t>
      </w:r>
      <w:r>
        <w:t xml:space="preserve"> </w:t>
      </w:r>
      <w:r>
        <w:t xml:space="preserve">value between genomes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In capturing many stages of speciation we hope to better understand the principles of diversification and how sequence 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also be used to develop hypotheses for future work in the lab about the ecological differences between the haplotypes identified.</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6"/>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0a84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3cfe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5" Target="media/rId25.pn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2017-10-22T23:34:21Z</dcterms:created>
  <dcterms:modified xsi:type="dcterms:W3CDTF">2017-10-22T23:34:21Z</dcterms:modified>
</cp:coreProperties>
</file>