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0868D" w14:textId="77777777" w:rsidR="005C3A4F" w:rsidRPr="00632566" w:rsidRDefault="005C3A4F" w:rsidP="005C3A4F">
      <w:pPr>
        <w:spacing w:after="0" w:line="240" w:lineRule="auto"/>
        <w:jc w:val="both"/>
        <w:rPr>
          <w:sz w:val="48"/>
          <w:szCs w:val="48"/>
        </w:rPr>
      </w:pPr>
      <w:bookmarkStart w:id="0" w:name="_Hlk146830747"/>
      <w:r>
        <w:rPr>
          <w:sz w:val="48"/>
          <w:szCs w:val="48"/>
        </w:rPr>
        <w:t>Boettcher Concert Hall Renovation Analysis</w:t>
      </w:r>
    </w:p>
    <w:p w14:paraId="1D66AE9C" w14:textId="77777777" w:rsidR="005C3A4F" w:rsidRDefault="005C3A4F" w:rsidP="005C3A4F">
      <w:pPr>
        <w:spacing w:after="0" w:line="240" w:lineRule="auto"/>
        <w:jc w:val="both"/>
        <w:rPr>
          <w:sz w:val="24"/>
          <w:szCs w:val="24"/>
        </w:rPr>
      </w:pPr>
      <w:r w:rsidRPr="00632566">
        <w:rPr>
          <w:i/>
          <w:sz w:val="24"/>
          <w:szCs w:val="24"/>
        </w:rPr>
        <w:t>Denver, CO</w:t>
      </w:r>
    </w:p>
    <w:p w14:paraId="074552EB" w14:textId="77777777" w:rsidR="005C3A4F" w:rsidRPr="00E65FB1" w:rsidRDefault="005C3A4F" w:rsidP="005C3A4F">
      <w:pPr>
        <w:spacing w:after="0" w:line="240" w:lineRule="auto"/>
        <w:jc w:val="both"/>
        <w:rPr>
          <w:sz w:val="20"/>
          <w:szCs w:val="20"/>
        </w:rPr>
      </w:pPr>
    </w:p>
    <w:p w14:paraId="098AB659" w14:textId="77777777" w:rsidR="005C3A4F" w:rsidRPr="00C3292D" w:rsidRDefault="005C3A4F" w:rsidP="005C3A4F">
      <w:pPr>
        <w:spacing w:after="120" w:line="240" w:lineRule="auto"/>
        <w:jc w:val="both"/>
        <w:rPr>
          <w:b/>
          <w:color w:val="F98E2B"/>
          <w:sz w:val="24"/>
          <w:szCs w:val="24"/>
        </w:rPr>
      </w:pPr>
      <w:r w:rsidRPr="00C3292D">
        <w:rPr>
          <w:b/>
          <w:color w:val="F98E2B"/>
          <w:sz w:val="24"/>
          <w:szCs w:val="24"/>
        </w:rPr>
        <w:t>Project Details</w:t>
      </w:r>
    </w:p>
    <w:p w14:paraId="298237EB" w14:textId="77777777" w:rsidR="005C3A4F" w:rsidRPr="0005527C" w:rsidRDefault="005C3A4F" w:rsidP="005C3A4F">
      <w:pPr>
        <w:tabs>
          <w:tab w:val="right" w:pos="4230"/>
        </w:tabs>
        <w:spacing w:after="0" w:line="240" w:lineRule="auto"/>
        <w:jc w:val="both"/>
        <w:rPr>
          <w:sz w:val="20"/>
          <w:szCs w:val="20"/>
        </w:rPr>
      </w:pPr>
      <w:r>
        <w:rPr>
          <w:noProof/>
        </w:rPr>
        <w:drawing>
          <wp:anchor distT="0" distB="0" distL="114300" distR="114300" simplePos="0" relativeHeight="251659264" behindDoc="0" locked="0" layoutInCell="1" allowOverlap="1" wp14:anchorId="1BF826BF" wp14:editId="19F31DF1">
            <wp:simplePos x="0" y="0"/>
            <wp:positionH relativeFrom="margin">
              <wp:align>right</wp:align>
            </wp:positionH>
            <wp:positionV relativeFrom="margin">
              <wp:posOffset>952500</wp:posOffset>
            </wp:positionV>
            <wp:extent cx="3076575" cy="1543685"/>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a:stretch/>
                  </pic:blipFill>
                  <pic:spPr bwMode="auto">
                    <a:xfrm>
                      <a:off x="0" y="0"/>
                      <a:ext cx="3076575" cy="1543685"/>
                    </a:xfrm>
                    <a:prstGeom prst="rect">
                      <a:avLst/>
                    </a:prstGeom>
                    <a:ln>
                      <a:noFill/>
                    </a:ln>
                    <a:extLst>
                      <a:ext uri="{53640926-AAD7-44D8-BBD7-CCE9431645EC}">
                        <a14:shadowObscured xmlns:a14="http://schemas.microsoft.com/office/drawing/2010/main"/>
                      </a:ext>
                    </a:extLst>
                  </pic:spPr>
                </pic:pic>
              </a:graphicData>
            </a:graphic>
          </wp:anchor>
        </w:drawing>
      </w:r>
      <w:r w:rsidRPr="0005527C">
        <w:rPr>
          <w:b/>
          <w:sz w:val="20"/>
          <w:szCs w:val="20"/>
        </w:rPr>
        <w:t>Description</w:t>
      </w:r>
      <w:r>
        <w:rPr>
          <w:sz w:val="20"/>
          <w:szCs w:val="20"/>
        </w:rPr>
        <w:t>:</w:t>
      </w:r>
      <w:r>
        <w:rPr>
          <w:sz w:val="20"/>
          <w:szCs w:val="20"/>
        </w:rPr>
        <w:tab/>
        <w:t>Renovation/Expansion</w:t>
      </w:r>
    </w:p>
    <w:p w14:paraId="03A80612" w14:textId="77777777" w:rsidR="005C3A4F" w:rsidRPr="0005527C" w:rsidRDefault="005C3A4F" w:rsidP="005C3A4F">
      <w:pPr>
        <w:tabs>
          <w:tab w:val="right" w:pos="4230"/>
        </w:tabs>
        <w:spacing w:after="0" w:line="240" w:lineRule="auto"/>
        <w:jc w:val="both"/>
        <w:rPr>
          <w:sz w:val="20"/>
          <w:szCs w:val="20"/>
        </w:rPr>
      </w:pPr>
      <w:r w:rsidRPr="0005527C">
        <w:rPr>
          <w:b/>
          <w:sz w:val="20"/>
          <w:szCs w:val="20"/>
        </w:rPr>
        <w:t>Owner</w:t>
      </w:r>
      <w:r w:rsidRPr="0005527C">
        <w:rPr>
          <w:sz w:val="20"/>
          <w:szCs w:val="20"/>
        </w:rPr>
        <w:t>:</w:t>
      </w:r>
      <w:r w:rsidRPr="0005527C">
        <w:rPr>
          <w:sz w:val="20"/>
          <w:szCs w:val="20"/>
        </w:rPr>
        <w:tab/>
      </w:r>
      <w:r>
        <w:rPr>
          <w:sz w:val="20"/>
          <w:szCs w:val="20"/>
        </w:rPr>
        <w:t>City &amp; County of Denver</w:t>
      </w:r>
    </w:p>
    <w:p w14:paraId="5FFD8FE4" w14:textId="77777777" w:rsidR="005C3A4F" w:rsidRPr="0005527C" w:rsidRDefault="005C3A4F" w:rsidP="005C3A4F">
      <w:pPr>
        <w:tabs>
          <w:tab w:val="right" w:pos="4230"/>
        </w:tabs>
        <w:spacing w:after="0" w:line="240" w:lineRule="auto"/>
        <w:jc w:val="both"/>
        <w:rPr>
          <w:sz w:val="20"/>
          <w:szCs w:val="20"/>
        </w:rPr>
      </w:pPr>
      <w:r w:rsidRPr="0005527C">
        <w:rPr>
          <w:b/>
          <w:sz w:val="20"/>
          <w:szCs w:val="20"/>
        </w:rPr>
        <w:t>Architect</w:t>
      </w:r>
      <w:r w:rsidRPr="0005527C">
        <w:rPr>
          <w:sz w:val="20"/>
          <w:szCs w:val="20"/>
        </w:rPr>
        <w:t>:</w:t>
      </w:r>
      <w:r w:rsidRPr="0005527C">
        <w:rPr>
          <w:sz w:val="20"/>
          <w:szCs w:val="20"/>
        </w:rPr>
        <w:tab/>
      </w:r>
      <w:r>
        <w:rPr>
          <w:sz w:val="20"/>
          <w:szCs w:val="20"/>
        </w:rPr>
        <w:t>Diamond + Schmitt/Oz Architecture</w:t>
      </w:r>
    </w:p>
    <w:p w14:paraId="1D86163E" w14:textId="77777777" w:rsidR="005C3A4F" w:rsidRPr="008318E6" w:rsidRDefault="005C3A4F" w:rsidP="005C3A4F">
      <w:pPr>
        <w:tabs>
          <w:tab w:val="right" w:pos="4230"/>
        </w:tabs>
        <w:spacing w:after="0" w:line="240" w:lineRule="auto"/>
        <w:jc w:val="both"/>
        <w:rPr>
          <w:sz w:val="20"/>
          <w:szCs w:val="20"/>
        </w:rPr>
      </w:pPr>
      <w:r>
        <w:rPr>
          <w:b/>
          <w:sz w:val="20"/>
          <w:szCs w:val="20"/>
        </w:rPr>
        <w:t>Cost Consultant:</w:t>
      </w:r>
      <w:r>
        <w:rPr>
          <w:sz w:val="20"/>
          <w:szCs w:val="20"/>
        </w:rPr>
        <w:tab/>
        <w:t>Donnell Consultants</w:t>
      </w:r>
    </w:p>
    <w:p w14:paraId="3C0FF807" w14:textId="77777777" w:rsidR="005C3A4F" w:rsidRDefault="005C3A4F" w:rsidP="005C3A4F">
      <w:pPr>
        <w:tabs>
          <w:tab w:val="right" w:pos="4230"/>
        </w:tabs>
        <w:spacing w:after="0" w:line="240" w:lineRule="auto"/>
        <w:jc w:val="both"/>
        <w:rPr>
          <w:sz w:val="20"/>
          <w:szCs w:val="20"/>
        </w:rPr>
      </w:pPr>
      <w:r>
        <w:rPr>
          <w:b/>
          <w:sz w:val="20"/>
          <w:szCs w:val="20"/>
        </w:rPr>
        <w:t>Acoustician</w:t>
      </w:r>
      <w:r w:rsidRPr="0005527C">
        <w:rPr>
          <w:sz w:val="20"/>
          <w:szCs w:val="20"/>
        </w:rPr>
        <w:t>:</w:t>
      </w:r>
      <w:r w:rsidRPr="0005527C">
        <w:rPr>
          <w:sz w:val="20"/>
          <w:szCs w:val="20"/>
        </w:rPr>
        <w:tab/>
      </w:r>
      <w:proofErr w:type="spellStart"/>
      <w:r>
        <w:rPr>
          <w:sz w:val="20"/>
          <w:szCs w:val="20"/>
        </w:rPr>
        <w:t>Akustiks</w:t>
      </w:r>
      <w:proofErr w:type="spellEnd"/>
    </w:p>
    <w:p w14:paraId="4BAB0487" w14:textId="77777777" w:rsidR="005C3A4F" w:rsidRPr="0005527C" w:rsidRDefault="005C3A4F" w:rsidP="005C3A4F">
      <w:pPr>
        <w:tabs>
          <w:tab w:val="right" w:pos="4230"/>
        </w:tabs>
        <w:spacing w:after="0" w:line="240" w:lineRule="auto"/>
        <w:jc w:val="both"/>
        <w:rPr>
          <w:sz w:val="20"/>
          <w:szCs w:val="20"/>
        </w:rPr>
      </w:pPr>
      <w:r w:rsidRPr="008318E6">
        <w:rPr>
          <w:b/>
          <w:sz w:val="20"/>
          <w:szCs w:val="20"/>
        </w:rPr>
        <w:t>Theatre Consultant:</w:t>
      </w:r>
      <w:r>
        <w:rPr>
          <w:sz w:val="20"/>
          <w:szCs w:val="20"/>
        </w:rPr>
        <w:tab/>
        <w:t>Fisher Dachs</w:t>
      </w:r>
    </w:p>
    <w:p w14:paraId="7AD97CAA" w14:textId="77777777" w:rsidR="005C3A4F" w:rsidRPr="0005527C" w:rsidRDefault="005C3A4F" w:rsidP="005C3A4F">
      <w:pPr>
        <w:tabs>
          <w:tab w:val="right" w:pos="4230"/>
        </w:tabs>
        <w:spacing w:after="0" w:line="240" w:lineRule="auto"/>
        <w:jc w:val="both"/>
        <w:rPr>
          <w:sz w:val="20"/>
          <w:szCs w:val="20"/>
        </w:rPr>
      </w:pPr>
      <w:r w:rsidRPr="0005527C">
        <w:rPr>
          <w:b/>
          <w:sz w:val="20"/>
          <w:szCs w:val="20"/>
        </w:rPr>
        <w:t>Budget</w:t>
      </w:r>
      <w:r w:rsidRPr="0005527C">
        <w:rPr>
          <w:sz w:val="20"/>
          <w:szCs w:val="20"/>
        </w:rPr>
        <w:t>:</w:t>
      </w:r>
      <w:r w:rsidRPr="0005527C">
        <w:rPr>
          <w:sz w:val="20"/>
          <w:szCs w:val="20"/>
        </w:rPr>
        <w:tab/>
      </w:r>
      <w:r>
        <w:rPr>
          <w:sz w:val="20"/>
          <w:szCs w:val="20"/>
        </w:rPr>
        <w:t>$92.7mm - $150.6mm</w:t>
      </w:r>
    </w:p>
    <w:p w14:paraId="04908CDC" w14:textId="77777777" w:rsidR="005C3A4F" w:rsidRDefault="005C3A4F" w:rsidP="005C3A4F">
      <w:pPr>
        <w:tabs>
          <w:tab w:val="right" w:pos="4230"/>
        </w:tabs>
        <w:spacing w:after="0" w:line="240" w:lineRule="auto"/>
        <w:jc w:val="both"/>
        <w:rPr>
          <w:sz w:val="20"/>
          <w:szCs w:val="20"/>
        </w:rPr>
      </w:pPr>
      <w:r w:rsidRPr="0005527C">
        <w:rPr>
          <w:b/>
          <w:sz w:val="20"/>
          <w:szCs w:val="20"/>
        </w:rPr>
        <w:t>Completion</w:t>
      </w:r>
      <w:r>
        <w:rPr>
          <w:sz w:val="20"/>
          <w:szCs w:val="20"/>
        </w:rPr>
        <w:t>:</w:t>
      </w:r>
      <w:r>
        <w:rPr>
          <w:sz w:val="20"/>
          <w:szCs w:val="20"/>
        </w:rPr>
        <w:tab/>
        <w:t>Discovery Phase, April 29, 2009</w:t>
      </w:r>
    </w:p>
    <w:p w14:paraId="38787437" w14:textId="77777777" w:rsidR="005C3A4F" w:rsidRDefault="005C3A4F" w:rsidP="005C3A4F">
      <w:pPr>
        <w:tabs>
          <w:tab w:val="right" w:pos="3744"/>
        </w:tabs>
        <w:spacing w:after="0" w:line="240" w:lineRule="auto"/>
        <w:jc w:val="both"/>
        <w:rPr>
          <w:sz w:val="20"/>
          <w:szCs w:val="20"/>
        </w:rPr>
      </w:pPr>
    </w:p>
    <w:p w14:paraId="000F46D7" w14:textId="77777777" w:rsidR="005C3A4F" w:rsidRPr="00C3292D" w:rsidRDefault="005C3A4F" w:rsidP="00C3292D">
      <w:pPr>
        <w:spacing w:after="120" w:line="240" w:lineRule="auto"/>
        <w:jc w:val="both"/>
        <w:rPr>
          <w:b/>
          <w:color w:val="F98E2B"/>
          <w:sz w:val="24"/>
          <w:szCs w:val="24"/>
        </w:rPr>
      </w:pPr>
      <w:r w:rsidRPr="00C3292D">
        <w:rPr>
          <w:b/>
          <w:color w:val="F98E2B"/>
          <w:sz w:val="24"/>
          <w:szCs w:val="24"/>
        </w:rPr>
        <w:t>Project Description</w:t>
      </w:r>
    </w:p>
    <w:p w14:paraId="651D45F3" w14:textId="77777777" w:rsidR="005C3A4F" w:rsidRDefault="005C3A4F" w:rsidP="005C3A4F">
      <w:pPr>
        <w:spacing w:line="240" w:lineRule="auto"/>
        <w:jc w:val="both"/>
        <w:rPr>
          <w:sz w:val="20"/>
          <w:szCs w:val="20"/>
        </w:rPr>
      </w:pPr>
      <w:r w:rsidRPr="00632661">
        <w:rPr>
          <w:sz w:val="20"/>
          <w:szCs w:val="20"/>
        </w:rPr>
        <w:t>The Boettcher Concert Hall Renovation Proj</w:t>
      </w:r>
      <w:r>
        <w:rPr>
          <w:sz w:val="20"/>
          <w:szCs w:val="20"/>
        </w:rPr>
        <w:t>ect was</w:t>
      </w:r>
      <w:r w:rsidRPr="00632661">
        <w:rPr>
          <w:sz w:val="20"/>
          <w:szCs w:val="20"/>
        </w:rPr>
        <w:t xml:space="preserve"> a City and County of Denver construction project that </w:t>
      </w:r>
      <w:r>
        <w:rPr>
          <w:sz w:val="20"/>
          <w:szCs w:val="20"/>
        </w:rPr>
        <w:t>was to</w:t>
      </w:r>
      <w:r w:rsidRPr="00632661">
        <w:rPr>
          <w:sz w:val="20"/>
          <w:szCs w:val="20"/>
        </w:rPr>
        <w:t xml:space="preserve"> be funded by $60 million of 2007 Cultural Facilities bonds </w:t>
      </w:r>
      <w:r>
        <w:rPr>
          <w:sz w:val="20"/>
          <w:szCs w:val="20"/>
        </w:rPr>
        <w:t xml:space="preserve">through the Better Denver Bond Program, and at </w:t>
      </w:r>
      <w:r w:rsidRPr="00632661">
        <w:rPr>
          <w:sz w:val="20"/>
          <w:szCs w:val="20"/>
        </w:rPr>
        <w:t xml:space="preserve">least $30 million in additional funding </w:t>
      </w:r>
      <w:r>
        <w:rPr>
          <w:sz w:val="20"/>
          <w:szCs w:val="20"/>
        </w:rPr>
        <w:t xml:space="preserve">from the Colorado Symphony Association. </w:t>
      </w:r>
      <w:r w:rsidRPr="00632661">
        <w:rPr>
          <w:sz w:val="20"/>
          <w:szCs w:val="20"/>
        </w:rPr>
        <w:t xml:space="preserve">The project </w:t>
      </w:r>
      <w:r>
        <w:rPr>
          <w:sz w:val="20"/>
          <w:szCs w:val="20"/>
        </w:rPr>
        <w:t>was</w:t>
      </w:r>
      <w:r w:rsidRPr="00632661">
        <w:rPr>
          <w:sz w:val="20"/>
          <w:szCs w:val="20"/>
        </w:rPr>
        <w:t xml:space="preserve"> managed by a Project Management Team (PMT) comprised of appointed persons from </w:t>
      </w:r>
      <w:r>
        <w:rPr>
          <w:sz w:val="20"/>
          <w:szCs w:val="20"/>
        </w:rPr>
        <w:t>City of Denver</w:t>
      </w:r>
      <w:r w:rsidRPr="00632661">
        <w:rPr>
          <w:sz w:val="20"/>
          <w:szCs w:val="20"/>
        </w:rPr>
        <w:t xml:space="preserve"> Department of Public Works, Theatres and Arenas</w:t>
      </w:r>
      <w:r>
        <w:rPr>
          <w:sz w:val="20"/>
          <w:szCs w:val="20"/>
        </w:rPr>
        <w:t xml:space="preserve"> (now Arts and Venues)</w:t>
      </w:r>
      <w:r w:rsidRPr="00632661">
        <w:rPr>
          <w:sz w:val="20"/>
          <w:szCs w:val="20"/>
        </w:rPr>
        <w:t>, and the Colorado Symphony Association.  In addition to the PMT</w:t>
      </w:r>
      <w:r>
        <w:rPr>
          <w:sz w:val="20"/>
          <w:szCs w:val="20"/>
        </w:rPr>
        <w:t>,</w:t>
      </w:r>
      <w:r w:rsidRPr="00632661">
        <w:rPr>
          <w:sz w:val="20"/>
          <w:szCs w:val="20"/>
        </w:rPr>
        <w:t xml:space="preserve"> </w:t>
      </w:r>
      <w:r>
        <w:rPr>
          <w:sz w:val="20"/>
          <w:szCs w:val="20"/>
        </w:rPr>
        <w:t>the project team included</w:t>
      </w:r>
      <w:r w:rsidRPr="00632661">
        <w:rPr>
          <w:sz w:val="20"/>
          <w:szCs w:val="20"/>
        </w:rPr>
        <w:t xml:space="preserve"> a Financial Director, Lotte Lieb Dula, </w:t>
      </w:r>
      <w:r>
        <w:rPr>
          <w:sz w:val="20"/>
          <w:szCs w:val="20"/>
        </w:rPr>
        <w:t xml:space="preserve">who was engaged directly </w:t>
      </w:r>
      <w:r w:rsidRPr="00632661">
        <w:rPr>
          <w:sz w:val="20"/>
          <w:szCs w:val="20"/>
        </w:rPr>
        <w:t>by Theatres and Arenas</w:t>
      </w:r>
      <w:r>
        <w:rPr>
          <w:sz w:val="20"/>
          <w:szCs w:val="20"/>
        </w:rPr>
        <w:t>,</w:t>
      </w:r>
      <w:r w:rsidRPr="00632661">
        <w:rPr>
          <w:sz w:val="20"/>
          <w:szCs w:val="20"/>
        </w:rPr>
        <w:t xml:space="preserve"> and an Owners Representative, Romani Group, Inc.</w:t>
      </w:r>
    </w:p>
    <w:p w14:paraId="2F115CB0" w14:textId="77777777" w:rsidR="005C3A4F" w:rsidRDefault="005C3A4F" w:rsidP="005C3A4F">
      <w:pPr>
        <w:spacing w:line="240" w:lineRule="auto"/>
        <w:jc w:val="both"/>
        <w:rPr>
          <w:sz w:val="20"/>
          <w:szCs w:val="20"/>
        </w:rPr>
      </w:pPr>
      <w:r w:rsidRPr="00632661">
        <w:rPr>
          <w:sz w:val="20"/>
          <w:szCs w:val="20"/>
        </w:rPr>
        <w:t>In July 2008</w:t>
      </w:r>
      <w:r>
        <w:rPr>
          <w:sz w:val="20"/>
          <w:szCs w:val="20"/>
        </w:rPr>
        <w:t>, Diamond +</w:t>
      </w:r>
      <w:r w:rsidRPr="00632661">
        <w:rPr>
          <w:sz w:val="20"/>
          <w:szCs w:val="20"/>
        </w:rPr>
        <w:t xml:space="preserve"> Schmitt Architects and OZ Architecture, a Joint Venture</w:t>
      </w:r>
      <w:r>
        <w:rPr>
          <w:sz w:val="20"/>
          <w:szCs w:val="20"/>
        </w:rPr>
        <w:t>,</w:t>
      </w:r>
      <w:r w:rsidRPr="00632661">
        <w:rPr>
          <w:sz w:val="20"/>
          <w:szCs w:val="20"/>
        </w:rPr>
        <w:t xml:space="preserve"> was selected as the design team for the project</w:t>
      </w:r>
      <w:r>
        <w:rPr>
          <w:sz w:val="20"/>
          <w:szCs w:val="20"/>
        </w:rPr>
        <w:t xml:space="preserve"> and </w:t>
      </w:r>
      <w:proofErr w:type="spellStart"/>
      <w:r w:rsidRPr="00632661">
        <w:rPr>
          <w:sz w:val="20"/>
          <w:szCs w:val="20"/>
        </w:rPr>
        <w:t>Akustiks</w:t>
      </w:r>
      <w:proofErr w:type="spellEnd"/>
      <w:r w:rsidRPr="00632661">
        <w:rPr>
          <w:sz w:val="20"/>
          <w:szCs w:val="20"/>
        </w:rPr>
        <w:t xml:space="preserve"> was selected as the project acoustician.  During the contract negotiations </w:t>
      </w:r>
      <w:r>
        <w:rPr>
          <w:sz w:val="20"/>
          <w:szCs w:val="20"/>
        </w:rPr>
        <w:t xml:space="preserve">with the design team, </w:t>
      </w:r>
      <w:r w:rsidRPr="00632661">
        <w:rPr>
          <w:sz w:val="20"/>
          <w:szCs w:val="20"/>
        </w:rPr>
        <w:t>it became evident to the PMT that it was necessary to investigate a series of options for the project renovation</w:t>
      </w:r>
      <w:r>
        <w:rPr>
          <w:sz w:val="20"/>
          <w:szCs w:val="20"/>
        </w:rPr>
        <w:t>, as a vetted program and achievable budget had not yet been developed by the stakeholders.</w:t>
      </w:r>
      <w:r w:rsidRPr="00632661">
        <w:rPr>
          <w:sz w:val="20"/>
          <w:szCs w:val="20"/>
        </w:rPr>
        <w:t xml:space="preserve"> </w:t>
      </w:r>
      <w:r>
        <w:rPr>
          <w:sz w:val="20"/>
          <w:szCs w:val="20"/>
        </w:rPr>
        <w:t xml:space="preserve">The project team ultimately investigated four options (A-D) over a 9-month period in a study </w:t>
      </w:r>
      <w:r w:rsidRPr="00632661">
        <w:rPr>
          <w:sz w:val="20"/>
          <w:szCs w:val="20"/>
        </w:rPr>
        <w:t>termed the Discovery Phase</w:t>
      </w:r>
      <w:r>
        <w:rPr>
          <w:sz w:val="20"/>
          <w:szCs w:val="20"/>
        </w:rPr>
        <w:t>,</w:t>
      </w:r>
      <w:r w:rsidRPr="00632661">
        <w:rPr>
          <w:sz w:val="20"/>
          <w:szCs w:val="20"/>
        </w:rPr>
        <w:t xml:space="preserve"> and the </w:t>
      </w:r>
      <w:r>
        <w:rPr>
          <w:sz w:val="20"/>
          <w:szCs w:val="20"/>
        </w:rPr>
        <w:t xml:space="preserve">collective group of </w:t>
      </w:r>
      <w:r w:rsidRPr="00632661">
        <w:rPr>
          <w:sz w:val="20"/>
          <w:szCs w:val="20"/>
        </w:rPr>
        <w:t xml:space="preserve">consultants were contractually engaged for just this </w:t>
      </w:r>
      <w:r>
        <w:rPr>
          <w:sz w:val="20"/>
          <w:szCs w:val="20"/>
        </w:rPr>
        <w:t xml:space="preserve">preliminary </w:t>
      </w:r>
      <w:r w:rsidRPr="00632661">
        <w:rPr>
          <w:sz w:val="20"/>
          <w:szCs w:val="20"/>
        </w:rPr>
        <w:t xml:space="preserve">phase of design investigation.  </w:t>
      </w:r>
      <w:r>
        <w:rPr>
          <w:sz w:val="20"/>
          <w:szCs w:val="20"/>
        </w:rPr>
        <w:t>The four options included minor and m</w:t>
      </w:r>
      <w:r w:rsidRPr="00632661">
        <w:rPr>
          <w:sz w:val="20"/>
          <w:szCs w:val="20"/>
        </w:rPr>
        <w:t>ajor renovation</w:t>
      </w:r>
      <w:r>
        <w:rPr>
          <w:sz w:val="20"/>
          <w:szCs w:val="20"/>
        </w:rPr>
        <w:t>s of the existing building (A and B)</w:t>
      </w:r>
      <w:r w:rsidRPr="00632661">
        <w:rPr>
          <w:sz w:val="20"/>
          <w:szCs w:val="20"/>
        </w:rPr>
        <w:t xml:space="preserve">, </w:t>
      </w:r>
      <w:r>
        <w:rPr>
          <w:sz w:val="20"/>
          <w:szCs w:val="20"/>
        </w:rPr>
        <w:t>a</w:t>
      </w:r>
      <w:r w:rsidRPr="00632661">
        <w:rPr>
          <w:sz w:val="20"/>
          <w:szCs w:val="20"/>
        </w:rPr>
        <w:t xml:space="preserve"> new building</w:t>
      </w:r>
      <w:r>
        <w:rPr>
          <w:sz w:val="20"/>
          <w:szCs w:val="20"/>
        </w:rPr>
        <w:t xml:space="preserve"> (C), and a major renovation that incorporated</w:t>
      </w:r>
      <w:r w:rsidRPr="00632661">
        <w:rPr>
          <w:sz w:val="20"/>
          <w:szCs w:val="20"/>
        </w:rPr>
        <w:t xml:space="preserve"> the adjacent building, 1245 C</w:t>
      </w:r>
      <w:r>
        <w:rPr>
          <w:sz w:val="20"/>
          <w:szCs w:val="20"/>
        </w:rPr>
        <w:t>hampa Street, into the project (D). Ultimately and unfortunately, the project did not proceed beyond the Discovery Phase, as the Symphony was unable to raise the necessary funds to meet their obligations to the City.</w:t>
      </w:r>
    </w:p>
    <w:p w14:paraId="481D9225" w14:textId="77777777" w:rsidR="005C3A4F" w:rsidRPr="00C3292D" w:rsidRDefault="005C3A4F" w:rsidP="00C3292D">
      <w:pPr>
        <w:spacing w:after="120" w:line="240" w:lineRule="auto"/>
        <w:jc w:val="both"/>
        <w:rPr>
          <w:b/>
          <w:color w:val="F98E2B"/>
          <w:sz w:val="24"/>
          <w:szCs w:val="24"/>
        </w:rPr>
      </w:pPr>
      <w:r w:rsidRPr="00C3292D">
        <w:rPr>
          <w:b/>
          <w:color w:val="F98E2B"/>
          <w:sz w:val="24"/>
          <w:szCs w:val="24"/>
        </w:rPr>
        <w:t>Scope of Work</w:t>
      </w:r>
    </w:p>
    <w:p w14:paraId="317C76D9" w14:textId="77777777" w:rsidR="005C3A4F" w:rsidRDefault="005C3A4F" w:rsidP="005C3A4F">
      <w:pPr>
        <w:spacing w:after="60" w:line="240" w:lineRule="auto"/>
        <w:jc w:val="both"/>
        <w:rPr>
          <w:sz w:val="20"/>
          <w:szCs w:val="20"/>
        </w:rPr>
      </w:pPr>
      <w:r>
        <w:rPr>
          <w:sz w:val="20"/>
          <w:szCs w:val="20"/>
        </w:rPr>
        <w:t>While at Romani Group, Eric Shafran served as the Project Manager for the duration of the Discovery Phase, performing the following duties:</w:t>
      </w:r>
    </w:p>
    <w:p w14:paraId="0EE841C5" w14:textId="77777777" w:rsidR="005C3A4F" w:rsidRPr="008B413A" w:rsidRDefault="005C3A4F" w:rsidP="005C3A4F">
      <w:pPr>
        <w:pStyle w:val="ListParagraph"/>
        <w:numPr>
          <w:ilvl w:val="0"/>
          <w:numId w:val="1"/>
        </w:numPr>
        <w:tabs>
          <w:tab w:val="right" w:pos="3744"/>
        </w:tabs>
        <w:spacing w:after="60" w:line="240" w:lineRule="auto"/>
        <w:contextualSpacing w:val="0"/>
        <w:jc w:val="both"/>
        <w:rPr>
          <w:sz w:val="20"/>
          <w:szCs w:val="20"/>
        </w:rPr>
      </w:pPr>
      <w:r w:rsidRPr="008B413A">
        <w:rPr>
          <w:sz w:val="20"/>
          <w:szCs w:val="20"/>
        </w:rPr>
        <w:t>Ongoing development and management of the overall project budget and schedule</w:t>
      </w:r>
      <w:r>
        <w:rPr>
          <w:sz w:val="20"/>
          <w:szCs w:val="20"/>
        </w:rPr>
        <w:t>;</w:t>
      </w:r>
    </w:p>
    <w:p w14:paraId="7F2FDB5C" w14:textId="77777777" w:rsidR="005C3A4F" w:rsidRDefault="005C3A4F" w:rsidP="005C3A4F">
      <w:pPr>
        <w:pStyle w:val="ListParagraph"/>
        <w:numPr>
          <w:ilvl w:val="0"/>
          <w:numId w:val="1"/>
        </w:numPr>
        <w:spacing w:after="60" w:line="240" w:lineRule="auto"/>
        <w:contextualSpacing w:val="0"/>
        <w:jc w:val="both"/>
        <w:rPr>
          <w:sz w:val="20"/>
          <w:szCs w:val="20"/>
        </w:rPr>
      </w:pPr>
      <w:r>
        <w:rPr>
          <w:sz w:val="20"/>
          <w:szCs w:val="20"/>
        </w:rPr>
        <w:t>Management of architectural teams in Toronto and Denver, and close coordination of renovation details with architectural subconsultants;</w:t>
      </w:r>
    </w:p>
    <w:p w14:paraId="69FF4C7C" w14:textId="77777777" w:rsidR="005C3A4F" w:rsidRPr="00483096" w:rsidRDefault="005C3A4F" w:rsidP="005C3A4F">
      <w:pPr>
        <w:pStyle w:val="ListParagraph"/>
        <w:numPr>
          <w:ilvl w:val="0"/>
          <w:numId w:val="1"/>
        </w:numPr>
        <w:spacing w:after="60" w:line="240" w:lineRule="auto"/>
        <w:contextualSpacing w:val="0"/>
        <w:jc w:val="both"/>
        <w:rPr>
          <w:sz w:val="20"/>
          <w:szCs w:val="20"/>
        </w:rPr>
      </w:pPr>
      <w:r>
        <w:rPr>
          <w:sz w:val="20"/>
          <w:szCs w:val="20"/>
        </w:rPr>
        <w:t>Administration of RFQ-P processes for acoustician and cost consultant, and negotiation and management of their contracts;</w:t>
      </w:r>
    </w:p>
    <w:p w14:paraId="022618D4" w14:textId="77777777" w:rsidR="005C3A4F" w:rsidRDefault="005C3A4F" w:rsidP="005C3A4F">
      <w:pPr>
        <w:pStyle w:val="ListParagraph"/>
        <w:numPr>
          <w:ilvl w:val="0"/>
          <w:numId w:val="1"/>
        </w:numPr>
        <w:spacing w:after="60" w:line="240" w:lineRule="auto"/>
        <w:contextualSpacing w:val="0"/>
        <w:jc w:val="both"/>
        <w:rPr>
          <w:sz w:val="20"/>
          <w:szCs w:val="20"/>
        </w:rPr>
      </w:pPr>
      <w:r>
        <w:rPr>
          <w:sz w:val="20"/>
          <w:szCs w:val="20"/>
        </w:rPr>
        <w:t>Analysis and take-off of FF&amp;E, including specialized performance hall-related equipment;</w:t>
      </w:r>
    </w:p>
    <w:p w14:paraId="0A932016" w14:textId="77777777" w:rsidR="005C3A4F" w:rsidRDefault="005C3A4F" w:rsidP="005C3A4F">
      <w:pPr>
        <w:pStyle w:val="ListParagraph"/>
        <w:numPr>
          <w:ilvl w:val="0"/>
          <w:numId w:val="1"/>
        </w:numPr>
        <w:tabs>
          <w:tab w:val="right" w:pos="3744"/>
        </w:tabs>
        <w:spacing w:after="60" w:line="240" w:lineRule="auto"/>
        <w:contextualSpacing w:val="0"/>
        <w:jc w:val="both"/>
        <w:rPr>
          <w:sz w:val="20"/>
          <w:szCs w:val="20"/>
        </w:rPr>
      </w:pPr>
      <w:r w:rsidRPr="005E2FEC">
        <w:rPr>
          <w:sz w:val="20"/>
          <w:szCs w:val="20"/>
        </w:rPr>
        <w:t>Negotiation, engagement and management of contracts with consultants in the fields of environmental remediation and survey</w:t>
      </w:r>
      <w:r>
        <w:rPr>
          <w:sz w:val="20"/>
          <w:szCs w:val="20"/>
        </w:rPr>
        <w:t>;</w:t>
      </w:r>
    </w:p>
    <w:p w14:paraId="49429FC5" w14:textId="77777777" w:rsidR="005C3A4F" w:rsidRDefault="005C3A4F" w:rsidP="005C3A4F">
      <w:pPr>
        <w:pStyle w:val="ListParagraph"/>
        <w:numPr>
          <w:ilvl w:val="0"/>
          <w:numId w:val="1"/>
        </w:numPr>
        <w:tabs>
          <w:tab w:val="right" w:pos="3744"/>
        </w:tabs>
        <w:spacing w:after="0" w:line="240" w:lineRule="auto"/>
        <w:contextualSpacing w:val="0"/>
        <w:jc w:val="both"/>
        <w:rPr>
          <w:sz w:val="20"/>
          <w:szCs w:val="20"/>
        </w:rPr>
      </w:pPr>
      <w:r>
        <w:rPr>
          <w:sz w:val="20"/>
          <w:szCs w:val="20"/>
        </w:rPr>
        <w:t>Preparation of all Discovery Phase deliverables and presentation materials.</w:t>
      </w:r>
    </w:p>
    <w:bookmarkEnd w:id="0"/>
    <w:p w14:paraId="36DE820B" w14:textId="77777777" w:rsidR="00D65A60" w:rsidRDefault="00D65A60"/>
    <w:sectPr w:rsidR="00D65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57797"/>
    <w:multiLevelType w:val="hybridMultilevel"/>
    <w:tmpl w:val="7430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41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A4F"/>
    <w:rsid w:val="005C3A4F"/>
    <w:rsid w:val="00C3292D"/>
    <w:rsid w:val="00D65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093C1"/>
  <w15:chartTrackingRefBased/>
  <w15:docId w15:val="{20E5DD74-D5DB-4C1D-A22F-FA613FC73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A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3A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 Green</dc:creator>
  <cp:keywords/>
  <dc:description/>
  <cp:lastModifiedBy>Eric Shafran</cp:lastModifiedBy>
  <cp:revision>2</cp:revision>
  <dcterms:created xsi:type="dcterms:W3CDTF">2019-08-15T17:16:00Z</dcterms:created>
  <dcterms:modified xsi:type="dcterms:W3CDTF">2023-09-29T03:59:00Z</dcterms:modified>
</cp:coreProperties>
</file>