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Title</w:t>
      </w:r>
    </w:p>
    <w:bookmarkStart w:id="26" w:name="heading-1"/>
    <w:p>
      <w:pPr>
        <w:pStyle w:val="Heading1"/>
      </w:pPr>
      <w:r>
        <w:t xml:space="preserve">Heading 1</w:t>
      </w:r>
    </w:p>
    <w:bookmarkStart w:id="25" w:name="heading-2"/>
    <w:p>
      <w:pPr>
        <w:pStyle w:val="Heading2"/>
      </w:pPr>
      <w:r>
        <w:t xml:space="preserve">Heading 2</w:t>
      </w:r>
    </w:p>
    <w:bookmarkStart w:id="24" w:name="heading-3"/>
    <w:p>
      <w:pPr>
        <w:pStyle w:val="Heading3"/>
      </w:pPr>
      <w:r>
        <w:t xml:space="preserve">Heading 3</w:t>
      </w:r>
    </w:p>
    <w:bookmarkStart w:id="23" w:name="heading-4"/>
    <w:p>
      <w:pPr>
        <w:pStyle w:val="Heading4"/>
      </w:pPr>
      <w:r>
        <w:t xml:space="preserve">Heading 4</w:t>
      </w:r>
    </w:p>
    <w:bookmarkStart w:id="22" w:name="heading-5"/>
    <w:p>
      <w:pPr>
        <w:pStyle w:val="Heading5"/>
      </w:pPr>
      <w:r>
        <w:t xml:space="preserve">Heading 5</w:t>
      </w:r>
    </w:p>
    <w:bookmarkStart w:id="21" w:name="heading-6"/>
    <w:p>
      <w:pPr>
        <w:pStyle w:val="Heading6"/>
      </w:pPr>
      <w:r>
        <w:t xml:space="preserve">Heading 6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text, and this is an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text.[^what’s poppin] I really love this font! I think it looks great:)</w:t>
      </w:r>
      <w:r>
        <w:t xml:space="preserve"> </w:t>
      </w:r>
      <w:hyperlink r:id="rId20">
        <w:r>
          <w:rPr>
            <w:rStyle w:val="Hyperlink"/>
          </w:rPr>
          <w:t xml:space="preserve">hi</w:t>
        </w:r>
      </w:hyperlink>
      <w:r>
        <w:t xml:space="preserve"> </w:t>
      </w:r>
      <w:r>
        <w:t xml:space="preserve"># Heading 1</w:t>
      </w:r>
      <w:r>
        <w:t xml:space="preserve"> </w:t>
      </w:r>
      <w:r>
        <w:t xml:space="preserve">## Heading 2</w:t>
      </w:r>
      <w:r>
        <w:t xml:space="preserve"> </w:t>
      </w:r>
      <w:r>
        <w:t xml:space="preserve">### Heading 3</w:t>
      </w:r>
      <w:r>
        <w:t xml:space="preserve"> </w:t>
      </w:r>
      <w:r>
        <w:t xml:space="preserve">#### Heading 4</w:t>
      </w:r>
      <w:r>
        <w:t xml:space="preserve"> </w:t>
      </w:r>
      <w:r>
        <w:t xml:space="preserve">##### Heading 5</w:t>
      </w:r>
      <w:r>
        <w:t xml:space="preserve"> </w:t>
      </w:r>
      <w:r>
        <w:t xml:space="preserve">###### Heading 6</w:t>
      </w:r>
    </w:p>
    <w:p>
      <w:pPr>
        <w:pStyle w:val="BodyText"/>
      </w:pPr>
      <w:r>
        <w:t xml:space="preserve">This is a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text, and this is an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text.[^what’s poppin] I really love this font! I think it looks great:)</w:t>
      </w:r>
      <w:r>
        <w:t xml:space="preserve"> </w:t>
      </w:r>
      <w:hyperlink r:id="rId20">
        <w:r>
          <w:rPr>
            <w:rStyle w:val="Hyperlink"/>
          </w:rPr>
          <w:t xml:space="preserve">hi</w:t>
        </w:r>
      </w:hyperlink>
    </w:p>
    <w:p>
      <w:pPr>
        <w:pStyle w:val="BodyText"/>
      </w:pPr>
      <w:r>
        <w:t xml:space="preserve">What should we do?</w:t>
      </w:r>
    </w:p>
    <w:p>
      <w:pPr>
        <w:pStyle w:val="BlockText"/>
      </w:pPr>
      <w:r>
        <w:t xml:space="preserve">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</w:t>
      </w:r>
    </w:p>
    <w:p>
      <w:pPr>
        <w:pStyle w:val="Compact"/>
        <w:numPr>
          <w:ilvl w:val="0"/>
          <w:numId w:val="1001"/>
        </w:numPr>
      </w:pPr>
      <w:r>
        <w:t xml:space="preserve">==Item 1==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0"/>
          <w:numId w:val="1001"/>
        </w:numPr>
      </w:pPr>
      <w:r>
        <w:t xml:space="preserve">Item</w:t>
      </w:r>
      <w:r>
        <w:t xml:space="preserve"> </w:t>
      </w:r>
      <w:r>
        <w:rPr>
          <w:strike/>
        </w:rPr>
        <w:t xml:space="preserve">3</w:t>
      </w:r>
    </w:p>
    <w:p>
      <w:pPr>
        <w:pStyle w:val="Compact"/>
        <w:numPr>
          <w:ilvl w:val="0"/>
          <w:numId w:val="1002"/>
        </w:numPr>
      </w:pPr>
      <w:r>
        <w:t xml:space="preserve">First</w:t>
      </w:r>
    </w:p>
    <w:p>
      <w:pPr>
        <w:pStyle w:val="Compact"/>
        <w:numPr>
          <w:ilvl w:val="0"/>
          <w:numId w:val="1002"/>
        </w:numPr>
      </w:pPr>
      <w:r>
        <w:t xml:space="preserve">Second</w:t>
      </w:r>
    </w:p>
    <w:p>
      <w:pPr>
        <w:pStyle w:val="Compact"/>
        <w:numPr>
          <w:ilvl w:val="0"/>
          <w:numId w:val="1002"/>
        </w:numPr>
      </w:pPr>
      <w:r>
        <w:t xml:space="preserve">Third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What should we do?</w:t>
      </w:r>
    </w:p>
    <w:p>
      <w:pPr>
        <w:pStyle w:val="BlockText"/>
      </w:pPr>
      <w:r>
        <w:t xml:space="preserve">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 This is a blockquote</w:t>
      </w:r>
    </w:p>
    <w:p>
      <w:pPr>
        <w:pStyle w:val="Compact"/>
        <w:numPr>
          <w:ilvl w:val="0"/>
          <w:numId w:val="1003"/>
        </w:numPr>
      </w:pPr>
      <w:r>
        <w:t xml:space="preserve">==Item 1==</w:t>
      </w:r>
    </w:p>
    <w:p>
      <w:pPr>
        <w:pStyle w:val="Compact"/>
        <w:numPr>
          <w:ilvl w:val="0"/>
          <w:numId w:val="1003"/>
        </w:numPr>
      </w:pPr>
      <w:r>
        <w:t xml:space="preserve">Item 2</w:t>
      </w:r>
    </w:p>
    <w:p>
      <w:pPr>
        <w:pStyle w:val="Compact"/>
        <w:numPr>
          <w:ilvl w:val="0"/>
          <w:numId w:val="1003"/>
        </w:numPr>
      </w:pPr>
      <w:r>
        <w:t xml:space="preserve">Item</w:t>
      </w:r>
      <w:r>
        <w:t xml:space="preserve"> </w:t>
      </w:r>
      <w:r>
        <w:rPr>
          <w:strike/>
        </w:rPr>
        <w:t xml:space="preserve">3</w:t>
      </w:r>
    </w:p>
    <w:p>
      <w:pPr>
        <w:pStyle w:val="Compact"/>
        <w:numPr>
          <w:ilvl w:val="0"/>
          <w:numId w:val="1004"/>
        </w:numPr>
      </w:pPr>
      <w:r>
        <w:t xml:space="preserve">First</w:t>
      </w:r>
    </w:p>
    <w:p>
      <w:pPr>
        <w:pStyle w:val="Compact"/>
        <w:numPr>
          <w:ilvl w:val="0"/>
          <w:numId w:val="1004"/>
        </w:numPr>
      </w:pPr>
      <w:r>
        <w:t xml:space="preserve">Second</w:t>
      </w:r>
    </w:p>
    <w:p>
      <w:pPr>
        <w:pStyle w:val="Compact"/>
        <w:numPr>
          <w:ilvl w:val="0"/>
          <w:numId w:val="1004"/>
        </w:numPr>
      </w:pPr>
      <w:r>
        <w:t xml:space="preserve">Third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1"/>
    <w:bookmarkEnd w:id="22"/>
    <w:bookmarkEnd w:id="23"/>
    <w:bookmarkEnd w:id="24"/>
    <w:bookmarkEnd w:id="25"/>
    <w:bookmarkEnd w:id="26"/>
    <w:sectPr w:rsidR="00FC693F" w:rsidRPr="0006063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IBM Normal"/>
    <w:qFormat/>
    <w:rsid w:val="00FC693F"/>
    <w:pPr>
      <w:spacing w:after="0" w:before="0"/>
    </w:pPr>
    <w:rPr>
      <w:rFonts w:ascii="IBM Plex Sans" w:hAnsi="IBM Plex Sans"/>
      <w:b w:val="0"/>
      <w:i w:val="0"/>
      <w:color w:val="000000"/>
      <w:sz w:val="22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IBM Heading 1"/>
    <w:basedOn w:val="Normal"/>
    <w:next w:val="Normal"/>
    <w:link w:val="Heading1Char"/>
    <w:uiPriority w:val="9"/>
    <w:qFormat/>
    <w:rsid w:val="00FC693F"/>
    <w:pPr>
      <w:keepNext/>
      <w:keepLines/>
      <w:spacing w:after="160" w:before="0"/>
      <w:outlineLvl w:val="0"/>
    </w:pPr>
    <w:rPr>
      <w:rFonts w:ascii="IBM Plex Sans" w:asciiTheme="majorHAnsi" w:cstheme="majorBidi" w:eastAsiaTheme="majorEastAsia" w:hAnsi="IBM Plex Sans" w:hAnsiTheme="majorHAnsi"/>
      <w:b/>
      <w:bCs/>
      <w:i w:val="0"/>
      <w:color w:val="000000"/>
      <w:sz w:val="48"/>
      <w:szCs w:val="28"/>
    </w:rPr>
  </w:style>
  <w:style w:styleId="Heading2" w:type="paragraph">
    <w:name w:val="IBM 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120" w:before="0"/>
      <w:outlineLvl w:val="1"/>
    </w:pPr>
    <w:rPr>
      <w:rFonts w:ascii="IBM Plex Sans" w:asciiTheme="majorHAnsi" w:cstheme="majorBidi" w:eastAsiaTheme="majorEastAsia" w:hAnsi="IBM Plex Sans" w:hAnsiTheme="majorHAnsi"/>
      <w:b/>
      <w:bCs/>
      <w:i w:val="0"/>
      <w:color w:val="000000"/>
      <w:sz w:val="36"/>
      <w:szCs w:val="26"/>
    </w:rPr>
  </w:style>
  <w:style w:styleId="Heading3" w:type="paragraph">
    <w:name w:val="IBM 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120" w:before="0"/>
      <w:outlineLvl w:val="2"/>
    </w:pPr>
    <w:rPr>
      <w:rFonts w:ascii="IBM Plex Sans" w:asciiTheme="majorHAnsi" w:cstheme="majorBidi" w:eastAsiaTheme="majorEastAsia" w:hAnsi="IBM Plex Sans" w:hAnsiTheme="majorHAnsi"/>
      <w:b/>
      <w:bCs/>
      <w:i w:val="0"/>
      <w:color w:val="000000"/>
      <w:sz w:val="28"/>
    </w:rPr>
  </w:style>
  <w:style w:styleId="Heading4" w:type="paragraph">
    <w:name w:val="IBM 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120" w:before="0"/>
      <w:outlineLvl w:val="3"/>
    </w:pPr>
    <w:rPr>
      <w:rFonts w:ascii="IBM Plex Sans" w:asciiTheme="majorHAnsi" w:cstheme="majorBidi" w:eastAsiaTheme="majorEastAsia" w:hAnsi="IBM Plex Sans" w:hAnsiTheme="majorHAnsi"/>
      <w:b/>
      <w:bCs/>
      <w:i w:val="0"/>
      <w:iCs/>
      <w:color w:val="000000"/>
      <w:sz w:val="24"/>
    </w:rPr>
  </w:style>
  <w:style w:styleId="Heading5" w:type="paragraph">
    <w:name w:val="IBM 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120" w:before="0"/>
      <w:outlineLvl w:val="4"/>
    </w:pPr>
    <w:rPr>
      <w:rFonts w:ascii="IBM Plex Sans" w:asciiTheme="majorHAnsi" w:cstheme="majorBidi" w:eastAsiaTheme="majorEastAsia" w:hAnsi="IBM Plex Sans" w:hAnsiTheme="majorHAnsi"/>
      <w:b/>
      <w:i w:val="0"/>
      <w:color w:val="000000"/>
      <w:sz w:val="20"/>
    </w:rPr>
  </w:style>
  <w:style w:styleId="Heading6" w:type="paragraph">
    <w:name w:val="IBM 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120" w:before="0"/>
      <w:outlineLvl w:val="5"/>
    </w:pPr>
    <w:rPr>
      <w:rFonts w:ascii="IBM Plex Sans" w:asciiTheme="majorHAnsi" w:cstheme="majorBidi" w:eastAsiaTheme="majorEastAsia" w:hAnsi="IBM Plex Sans" w:hAnsiTheme="majorHAnsi"/>
      <w:b/>
      <w:i w:val="0"/>
      <w:iCs/>
      <w:color w:val="000000"/>
      <w:sz w:val="2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IBM 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240" w:before="0" w:line="240" w:lineRule="auto"/>
      <w:contextualSpacing/>
    </w:pPr>
    <w:rPr>
      <w:rFonts w:ascii="IBM Plex Sans" w:asciiTheme="majorHAnsi" w:cstheme="majorBidi" w:eastAsiaTheme="majorEastAsia" w:hAnsi="IBM Plex Sans" w:hAnsiTheme="majorHAnsi"/>
      <w:b/>
      <w:i w:val="0"/>
      <w:color w:val="000000"/>
      <w:spacing w:val="5"/>
      <w:kern w:val="28"/>
      <w:sz w:val="56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IBM 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120" w:before="0"/>
    </w:pPr>
    <w:rPr>
      <w:rFonts w:ascii="IBM Plex Sans" w:asciiTheme="majorHAnsi" w:cstheme="majorBidi" w:eastAsiaTheme="majorEastAsia" w:hAnsi="IBM Plex Sans" w:hAnsiTheme="majorHAnsi"/>
      <w:b w:val="0"/>
      <w:i/>
      <w:iCs/>
      <w:color w:val="323232"/>
      <w:spacing w:val="15"/>
      <w:sz w:val="28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Title</dc:title>
  <dc:creator/>
  <cp:keywords/>
  <dcterms:created xsi:type="dcterms:W3CDTF">2025-01-26T06:04:25Z</dcterms:created>
  <dcterms:modified xsi:type="dcterms:W3CDTF">2025-01-26T06:04:25Z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